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E2BA0C" w14:textId="1FCFE01E" w:rsidR="00B93821" w:rsidRDefault="00A610F5">
      <w:pPr>
        <w:spacing w:line="276" w:lineRule="auto"/>
      </w:pPr>
      <w:r>
        <w:t>[REDACTED]</w:t>
      </w:r>
    </w:p>
    <w:p w14:paraId="4B08319B" w14:textId="77777777" w:rsidR="00B93821" w:rsidRDefault="00B93821"/>
    <w:p w14:paraId="1463D995" w14:textId="77777777" w:rsidR="00B93821" w:rsidRDefault="00000000">
      <w:pPr>
        <w:spacing w:after="160" w:line="276" w:lineRule="auto"/>
      </w:pPr>
      <w:r>
        <w:t>31 August 2026</w:t>
      </w:r>
    </w:p>
    <w:p w14:paraId="559EED8A" w14:textId="77777777" w:rsidR="00B93821" w:rsidRDefault="00B93821"/>
    <w:p w14:paraId="4D0B9AC1" w14:textId="77777777" w:rsidR="00B93821" w:rsidRDefault="00000000">
      <w:pPr>
        <w:spacing w:line="276" w:lineRule="auto"/>
      </w:pPr>
      <w:r>
        <w:t>Strategic Planning Team</w:t>
      </w:r>
    </w:p>
    <w:p w14:paraId="513CACDD" w14:textId="77777777" w:rsidR="00B93821" w:rsidRDefault="00000000">
      <w:pPr>
        <w:spacing w:line="276" w:lineRule="auto"/>
      </w:pPr>
      <w:r>
        <w:t>Cheshire East Council</w:t>
      </w:r>
    </w:p>
    <w:p w14:paraId="1FC07074" w14:textId="77777777" w:rsidR="00B93821" w:rsidRDefault="00000000">
      <w:pPr>
        <w:spacing w:line="276" w:lineRule="auto"/>
      </w:pPr>
      <w:r>
        <w:t>Delamere House, Delamere Street</w:t>
      </w:r>
    </w:p>
    <w:p w14:paraId="34A6E7A3" w14:textId="77777777" w:rsidR="00B93821" w:rsidRDefault="00000000">
      <w:pPr>
        <w:spacing w:line="276" w:lineRule="auto"/>
      </w:pPr>
      <w:r>
        <w:t>Crewe CW1 2LL</w:t>
      </w:r>
    </w:p>
    <w:p w14:paraId="0211155C" w14:textId="77777777" w:rsidR="00B93821" w:rsidRDefault="00B93821"/>
    <w:p w14:paraId="646D264A" w14:textId="77777777" w:rsidR="00B93821" w:rsidRDefault="00000000">
      <w:pPr>
        <w:spacing w:line="276" w:lineRule="auto"/>
      </w:pPr>
      <w:r>
        <w:t>Submitted via the consultation portal at localplan.cheshireeast.gov.uk/scoping-consultation, with a copy by email to localplan@cheshireeast.gov.uk</w:t>
      </w:r>
    </w:p>
    <w:p w14:paraId="4A62C3BE" w14:textId="77777777" w:rsidR="00B93821" w:rsidRDefault="00B93821"/>
    <w:p w14:paraId="49FC3F37" w14:textId="77777777" w:rsidR="00B93821" w:rsidRDefault="00000000">
      <w:pPr>
        <w:spacing w:after="160" w:line="276" w:lineRule="auto"/>
      </w:pPr>
      <w:r>
        <w:t>Dear Sir or Madam,</w:t>
      </w:r>
    </w:p>
    <w:p w14:paraId="6D121019" w14:textId="77777777" w:rsidR="00B93821" w:rsidRDefault="00000000">
      <w:pPr>
        <w:spacing w:after="60" w:line="276" w:lineRule="auto"/>
      </w:pPr>
      <w:r>
        <w:rPr>
          <w:b/>
          <w:bCs/>
        </w:rPr>
        <w:t>Cheshire East Local Plan: Scoping Consultation (closing 5pm, 1 September 2026)</w:t>
      </w:r>
    </w:p>
    <w:p w14:paraId="6900773B" w14:textId="613A6C59" w:rsidR="00B93821" w:rsidRDefault="00000000">
      <w:pPr>
        <w:spacing w:after="160" w:line="276" w:lineRule="auto"/>
      </w:pPr>
      <w:r>
        <w:rPr>
          <w:b/>
          <w:bCs/>
        </w:rPr>
        <w:t xml:space="preserve">Response of the owners of </w:t>
      </w:r>
      <w:r w:rsidR="00AE63FF">
        <w:rPr>
          <w:b/>
          <w:bCs/>
        </w:rPr>
        <w:t>[REDACTED]</w:t>
      </w:r>
    </w:p>
    <w:p w14:paraId="51EAFEDB" w14:textId="3B5D6AED" w:rsidR="00B93821" w:rsidRDefault="00000000">
      <w:pPr>
        <w:spacing w:after="160" w:line="276" w:lineRule="auto"/>
      </w:pPr>
      <w:r>
        <w:t xml:space="preserve">1.  We write as residents of </w:t>
      </w:r>
      <w:r w:rsidR="00AE63FF">
        <w:t>[REDACTED]</w:t>
      </w:r>
      <w:r>
        <w:t xml:space="preserve">. </w:t>
      </w:r>
      <w:r w:rsidR="00AE63FF">
        <w:t xml:space="preserve">[REDACTED] </w:t>
      </w:r>
      <w:r>
        <w:t xml:space="preserve"> shown on the council's site submissions map as "Land East of Heyes Lane" (references HE 269 and CFS26 245; 4.75 hectares; submitted for housing). Our comments concern the scope of the new local plan, the methodology for assessing sites and reviewing the Green Belt, and the evidence the plan must have before any such site is treated as suitable. We use that field, and the adjoining submission at Land Adjoining Jenny Heyes, as worked examples, because they show the questions the methodology must be able to answer.</w:t>
      </w:r>
    </w:p>
    <w:p w14:paraId="3F3FEB07" w14:textId="77777777" w:rsidR="00B93821" w:rsidRDefault="00000000">
      <w:pPr>
        <w:spacing w:after="160" w:line="276" w:lineRule="auto"/>
      </w:pPr>
      <w:r>
        <w:t>2.  We note that the council intends to prepare the plan under the reformed plan-making system and that the National Planning Policy Framework published on 17 August 2026 will apply to it. Our comments are framed against that Framework.</w:t>
      </w:r>
    </w:p>
    <w:p w14:paraId="122852B9" w14:textId="77777777" w:rsidR="00B93821" w:rsidRDefault="00000000">
      <w:pPr>
        <w:spacing w:before="240" w:after="120"/>
      </w:pPr>
      <w:r>
        <w:rPr>
          <w:b/>
          <w:bCs/>
        </w:rPr>
        <w:t>Green Belt review methodology</w:t>
      </w:r>
    </w:p>
    <w:p w14:paraId="2FFA3B41" w14:textId="77777777" w:rsidR="00B93821" w:rsidRDefault="00000000">
      <w:pPr>
        <w:spacing w:after="160" w:line="276" w:lineRule="auto"/>
      </w:pPr>
      <w:r>
        <w:t>3.  The Green Belt review should assess each parcel against the Green Belt purposes in the August 2026 Framework and should record, for each parcel, whether the land strongly contributes to the purposes relevant to the grey belt definition, with reasons. A conclusion that a parcel is or is not grey belt should not be reached by inference from a general area assessment.</w:t>
      </w:r>
    </w:p>
    <w:p w14:paraId="2DC0015C" w14:textId="77777777" w:rsidR="00B93821" w:rsidRDefault="00000000">
      <w:pPr>
        <w:spacing w:after="160" w:line="276" w:lineRule="auto"/>
      </w:pPr>
      <w:r>
        <w:t>4.  The council's existing evidence should be carried forward into that exercise. The Alderley Edge Settlement Report (examination document ED21, August 2020) concluded that the Land East of Heyes Lane, then site CFS370, makes a "significant contribution" to Green Belt purposes; scored the site red for landscape impact, finding that it forms an important transition between the settlement and the wider rural landscape within the Local Landscape Designation, with significant impacts that would be difficult to mitigate; scored it red for highways access; and recommended that it remain in the Green Belt. We accept that the 2020 assessment used a different scale from the grey belt test. That is why the new methodology should state how earlier findings are to be treated. A finding of significant contribution is material evidence. It should be carried forward unless a new study explains, parcel by parcel, why it is no longer correct.</w:t>
      </w:r>
    </w:p>
    <w:p w14:paraId="3A00EA9B" w14:textId="77777777" w:rsidR="00B93821" w:rsidRDefault="00000000">
      <w:pPr>
        <w:spacing w:after="160" w:line="276" w:lineRule="auto"/>
      </w:pPr>
      <w:r>
        <w:t xml:space="preserve">5.  The Land East of Heyes Lane is open agricultural land on the settlement edge, bounded by rear gardens to the west and south and by open countryside to the east. On the evidence in ED21 it </w:t>
      </w:r>
      <w:r>
        <w:lastRenderedPageBreak/>
        <w:t>contributes strongly to the purpose of checking the unrestricted sprawl of the built-up area. We do not ask the council to reach a concluded view on grey belt status at this stage. We ask that the methodology require that question to be answered on parcel-specific evidence, with the burden on any new study to displace the council's previous finding.</w:t>
      </w:r>
    </w:p>
    <w:p w14:paraId="50352163" w14:textId="77777777" w:rsidR="00B93821" w:rsidRDefault="00000000">
      <w:pPr>
        <w:spacing w:before="240" w:after="120"/>
      </w:pPr>
      <w:r>
        <w:rPr>
          <w:b/>
          <w:bCs/>
        </w:rPr>
        <w:t>Development around well-connected stations</w:t>
      </w:r>
    </w:p>
    <w:p w14:paraId="214EAE14" w14:textId="77777777" w:rsidR="00B93821" w:rsidRDefault="00000000">
      <w:pPr>
        <w:spacing w:after="160" w:line="276" w:lineRule="auto"/>
      </w:pPr>
      <w:r>
        <w:t>6.  The August 2026 Framework introduces a route for development within reasonable walking distance of a well-connected station, both in plan-making (policy GB3(4)) and in decision-making (policy GB7(1)(h)). The glossary defines reasonable walking distance as around 800 metres, or around ten minutes' walk where topography, route availability and quality, or physical barriers would prevent or discourage walking from that distance. Only the part of a site within that distance benefits from the station policies.</w:t>
      </w:r>
    </w:p>
    <w:p w14:paraId="62790A4F" w14:textId="77777777" w:rsidR="00B93821" w:rsidRDefault="00000000">
      <w:pPr>
        <w:spacing w:after="160" w:line="276" w:lineRule="auto"/>
      </w:pPr>
      <w:r>
        <w:t>7.  The methodology should map, for each candidate site, the area that actually lies within reasonable walking distance of a qualifying station by the routes that exist on the ground. It should not treat a whole parcel as qualifying because a corner of it lies close to the threshold. The Land East of Heyes Lane illustrates the point. The site has no adequate independent access to the highway. Its only existing link to Heyes Lane, apart from a narrow spur beside the Emerson House offices, is a single-track access between houses opposite Oakfield Road, which the council's 2020 assessment found would not be sufficient. Even by that most favourable route, the western boundary of the site is at the limit of the 800 metre distance, the centre of the site is around 950 metres from the station, and the remainder is further. A theoretically closer point at the south-west corner has no access from the highway at all. The ten-minute limb of the glossary test exists to reduce the qualifying area where routes are poor or obstructed; it does not extend it. The qualifying area for this site, if there is one, is therefore a narrow strip along its western edge, reached only by a track between existing houses that has already been found inadequate, and with no other vehicular access except through the car park of the adjoining offices. Policy GB7 requires development relying on the station route to be physically well related to the station or the settlement, to be of a scale that existing or proposed infrastructure can support, and not to prejudice the comprehensive treatment of the wider area. The methodology should apply those tests to any such strip, should treat land outside the qualifying area as ordinary Green Belt to be assessed against the grey belt test, and should make clear that a qualifying strip cannot be used to justify development across a site. We ask that the council's site assessment records the qualifying area for this site on that basis, and does so for every site where the station policies are relied upon.</w:t>
      </w:r>
    </w:p>
    <w:p w14:paraId="588D58C2" w14:textId="77777777" w:rsidR="00B93821" w:rsidRDefault="00000000">
      <w:pPr>
        <w:spacing w:before="240" w:after="120"/>
      </w:pPr>
      <w:r>
        <w:rPr>
          <w:b/>
          <w:bCs/>
        </w:rPr>
        <w:t>Consistency with recent decisions</w:t>
      </w:r>
    </w:p>
    <w:p w14:paraId="4192DF12" w14:textId="77777777" w:rsidR="00B93821" w:rsidRDefault="00000000">
      <w:pPr>
        <w:spacing w:after="160" w:line="276" w:lineRule="auto"/>
      </w:pPr>
      <w:r>
        <w:t xml:space="preserve">8.  On 12 November 2025 the Northern Planning Committee refused application 25/1064/OUT for nine dwellings on Land Adjoining Jenny Heyes, on the grounds that the site does not meet the definition of grey belt because it makes a strong contribution to the purpose of checking sprawl, and that it is not in a sustainable location. An appeal against that refusal (Planning Inspectorate reference 6004692) has been lodged and is undetermined. The council's reasons for refusal remain its position and are directly relevant to the treatment of nearby Green Belt land. The Jenny Heyes site is smaller, enclosed by development on three sides, closer to the station, and was assessed in ED21 as making a lesser contribution to Green Belt purposes than the Land East of Heyes Lane. The site assessment methodology should be internally consistent with the council's own recent </w:t>
      </w:r>
      <w:r>
        <w:lastRenderedPageBreak/>
        <w:t>decisions. A larger and more open field, with a greater Green Belt contribution and a longer walk to the station, cannot rationally be treated as more suitable than the smaller site the council has just refused.</w:t>
      </w:r>
    </w:p>
    <w:p w14:paraId="3A849227" w14:textId="77777777" w:rsidR="00B93821" w:rsidRDefault="00000000">
      <w:pPr>
        <w:spacing w:before="240" w:after="120"/>
      </w:pPr>
      <w:r>
        <w:rPr>
          <w:b/>
          <w:bCs/>
        </w:rPr>
        <w:t>Access, Heyes Lane and traffic</w:t>
      </w:r>
    </w:p>
    <w:p w14:paraId="0AE7A921" w14:textId="77777777" w:rsidR="00B93821" w:rsidRDefault="00000000">
      <w:pPr>
        <w:spacing w:after="160" w:line="276" w:lineRule="auto"/>
      </w:pPr>
      <w:r>
        <w:t>9.  The land availability assessment should treat the existence of a deliverable highway access within the promoter's control as a threshold matter, evidenced at the assessment stage and not deferred to a later application. The Land East of Heyes Lane has no adequate independent frontage to the public highway. The council's 2020 assessment found that the existing single-track farm access would not be sufficient and that an alternative access to Heyes Lane would involve the loss of part of the car park of the adjacent Emerson Group offices and the demolition of an end terraced house. Those constraints have not changed and should be carried forward.</w:t>
      </w:r>
    </w:p>
    <w:p w14:paraId="74500AFC" w14:textId="77777777" w:rsidR="00B93821" w:rsidRDefault="00000000">
      <w:pPr>
        <w:spacing w:after="160" w:line="276" w:lineRule="auto"/>
      </w:pPr>
      <w:r>
        <w:t>10.  The methodology must also assess the capacity and character of Heyes Lane itself, not only the A34 and B5087 corridors. Heyes Lane is a residential lane with on-street parking. It already carries a volume of through traffic out of keeping with that character. A scheme of the scale historically promoted on the Land East of Heyes Lane would add a material number of vehicle movements at the only possible points of access onto that lane. The evidence base should include observed traffic on Heyes Lane, including peak-hour conditions, on-street parking, and the effect of additional movements on highway safety and on living conditions for existing residents. Sites should not be found suitable on the assumption that Heyes Lane can absorb that load.</w:t>
      </w:r>
    </w:p>
    <w:p w14:paraId="3DC267FF" w14:textId="77777777" w:rsidR="00B93821" w:rsidRDefault="00000000">
      <w:pPr>
        <w:spacing w:before="240" w:after="120"/>
      </w:pPr>
      <w:r>
        <w:rPr>
          <w:b/>
          <w:bCs/>
        </w:rPr>
        <w:t>Air quality, construction impacts and living conditions</w:t>
      </w:r>
    </w:p>
    <w:p w14:paraId="661C849D" w14:textId="77777777" w:rsidR="00B93821" w:rsidRDefault="00000000">
      <w:pPr>
        <w:spacing w:after="160" w:line="276" w:lineRule="auto"/>
      </w:pPr>
      <w:r>
        <w:t>11.  The methodology should require an air quality and construction-impact assessment for any candidate site that directly adjoins existing homes. That assessment should cover dust, fine particulates and construction traffic during any build-out, and operational emissions from additional vehicle movements on Heyes Lane thereafter. Those are living-conditions and public-health issues. They go to whether a site is suitable, not only to later planning conditions. Sites backing onto existing houses on a constrained residential lane should not be marked suitable until those effects on existing occupiers have been assessed with evidence.</w:t>
      </w:r>
    </w:p>
    <w:p w14:paraId="6F187936" w14:textId="77777777" w:rsidR="00B93821" w:rsidRDefault="00000000">
      <w:pPr>
        <w:spacing w:before="240" w:after="120"/>
      </w:pPr>
      <w:r>
        <w:rPr>
          <w:b/>
          <w:bCs/>
        </w:rPr>
        <w:t>Infrastructure evidence base</w:t>
      </w:r>
    </w:p>
    <w:p w14:paraId="18EF0854" w14:textId="77777777" w:rsidR="00B93821" w:rsidRDefault="00000000">
      <w:pPr>
        <w:spacing w:after="160" w:line="276" w:lineRule="auto"/>
      </w:pPr>
      <w:r>
        <w:t>12.  Infrastructure capacity should be treated as a matter going to the soundness of the plan and to the suitability of individual sites, not as a matter to be resolved by planning obligations after allocation. The evidence base for Alderley Edge should address, before any site on the settlement edge is assessed as suitable: primary and secondary school capacity and forecast rolls; the capacity of primary healthcare; foul drainage, given United Utilities' advice recorded in ED21 that the local network is small in diameter and has limited capacity to support future growth; the capacity of Heyes Lane and of the A34 and B5087 corridors; and flood risk from Whitehall Brook, a main river, including the areas of Flood Zones 2 and 3 within the Land East of Heyes Lane and the Environment Agency's eight-metre margin.</w:t>
      </w:r>
    </w:p>
    <w:p w14:paraId="251F2DCC" w14:textId="77777777" w:rsidR="00B93821" w:rsidRDefault="00000000">
      <w:pPr>
        <w:spacing w:after="160" w:line="276" w:lineRule="auto"/>
      </w:pPr>
      <w:r>
        <w:t xml:space="preserve">13.  The council's latest housing land supply position, at a base date of 31 March 2025, identifies a deliverable supply of 8,780 dwellings, equating to 3.3 years, down from 3.8 years at 31 March 2024, measured against a local housing need under the standard method of around 2,500 homes a year. We recognise the pressure this creates. It is a reason for the plan to be founded on robust site </w:t>
      </w:r>
      <w:r>
        <w:lastRenderedPageBreak/>
        <w:t>assessment and infrastructure evidence, so that growth is directed to sites that can be delivered and served, rather than a reason to relax the methodology for constrained Green Belt land on a residential lane.</w:t>
      </w:r>
    </w:p>
    <w:p w14:paraId="382CB630" w14:textId="77777777" w:rsidR="00B93821" w:rsidRDefault="00000000">
      <w:pPr>
        <w:spacing w:before="240" w:after="120"/>
      </w:pPr>
      <w:r>
        <w:rPr>
          <w:b/>
          <w:bCs/>
        </w:rPr>
        <w:t>Spatial strategy and the Neighbourhood Plan</w:t>
      </w:r>
    </w:p>
    <w:p w14:paraId="2656296E" w14:textId="77777777" w:rsidR="00B93821" w:rsidRDefault="00000000">
      <w:pPr>
        <w:spacing w:after="160" w:line="276" w:lineRule="auto"/>
      </w:pPr>
      <w:r>
        <w:t>14.  We ask the council to test a spatial strategy that meets need on previously developed land, on land within settlements, and on lower-harm sites and the most sustainable locations before releasing Green Belt parcels that its own evidence has found to make a significant contribution to Green Belt purposes on the constrained edges of local service centres such as Alderley Edge.</w:t>
      </w:r>
    </w:p>
    <w:p w14:paraId="52801A35" w14:textId="77777777" w:rsidR="00B93821" w:rsidRDefault="00000000">
      <w:pPr>
        <w:spacing w:after="160" w:line="276" w:lineRule="auto"/>
      </w:pPr>
      <w:r>
        <w:t>15.  The made Alderley Edge Neighbourhood Plan should be given full weight in the methodology, in particular Policy AE1, the Alderley Edge Development Strategy, which resists development outside the existing settlement boundary, and Policy AE9 on landscape character and access.</w:t>
      </w:r>
    </w:p>
    <w:p w14:paraId="177A3467" w14:textId="77777777" w:rsidR="00B93821" w:rsidRDefault="00000000">
      <w:pPr>
        <w:spacing w:after="160" w:line="276" w:lineRule="auto"/>
      </w:pPr>
      <w:r>
        <w:t>16.  We should be grateful to be notified of each subsequent stage of the plan, including the publication of the readiness assessment, the consultation on the proposed content of the plan and its supporting evidence, and the consultation on the proposed local plan, and to be registered as an interested party on the site assessment of the Land East of Heyes Lane and the Land Adjoining Jenny Heyes.</w:t>
      </w:r>
    </w:p>
    <w:p w14:paraId="46392264" w14:textId="77777777" w:rsidR="00B93821" w:rsidRDefault="00000000">
      <w:pPr>
        <w:spacing w:after="160" w:line="276" w:lineRule="auto"/>
      </w:pPr>
      <w:r>
        <w:t>Yours faithfully,</w:t>
      </w:r>
    </w:p>
    <w:p w14:paraId="18E94167" w14:textId="77777777" w:rsidR="00B93821" w:rsidRDefault="00B93821"/>
    <w:p w14:paraId="477ED58C" w14:textId="77777777" w:rsidR="00B93821" w:rsidRDefault="00B93821"/>
    <w:p w14:paraId="67D3407C" w14:textId="77777777" w:rsidR="00B93821" w:rsidRDefault="00000000">
      <w:pPr>
        <w:spacing w:line="276" w:lineRule="auto"/>
      </w:pPr>
      <w:r>
        <w:t>Gavin and Joanne Vanden</w:t>
      </w:r>
    </w:p>
    <w:p w14:paraId="2E5DD314" w14:textId="79ACBAE4" w:rsidR="00B93821" w:rsidRDefault="000F71D8">
      <w:pPr>
        <w:spacing w:line="276" w:lineRule="auto"/>
      </w:pPr>
      <w:r>
        <w:t>[REDACTED]</w:t>
      </w:r>
    </w:p>
    <w:sectPr w:rsidR="00B93821">
      <w:footerReference w:type="even" r:id="rId7"/>
      <w:footerReference w:type="default" r:id="rId8"/>
      <w:footerReference w:type="first" r:id="rId9"/>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6CE835" w14:textId="77777777" w:rsidR="001F51CD" w:rsidRDefault="001F51CD" w:rsidP="00A610F5">
      <w:r>
        <w:separator/>
      </w:r>
    </w:p>
  </w:endnote>
  <w:endnote w:type="continuationSeparator" w:id="0">
    <w:p w14:paraId="64A68D91" w14:textId="77777777" w:rsidR="001F51CD" w:rsidRDefault="001F51CD" w:rsidP="00A610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BC4EC" w14:textId="006E88C0" w:rsidR="00A610F5" w:rsidRDefault="00A610F5">
    <w:pPr>
      <w:pStyle w:val="Footer"/>
    </w:pPr>
    <w:r>
      <w:rPr>
        <w:noProof/>
      </w:rPr>
      <mc:AlternateContent>
        <mc:Choice Requires="wps">
          <w:drawing>
            <wp:anchor distT="0" distB="0" distL="0" distR="0" simplePos="0" relativeHeight="251659264" behindDoc="0" locked="0" layoutInCell="1" allowOverlap="1" wp14:anchorId="2B80E3DA" wp14:editId="6FFD0EE2">
              <wp:simplePos x="635" y="635"/>
              <wp:positionH relativeFrom="page">
                <wp:align>center</wp:align>
              </wp:positionH>
              <wp:positionV relativeFrom="page">
                <wp:align>bottom</wp:align>
              </wp:positionV>
              <wp:extent cx="686435" cy="365760"/>
              <wp:effectExtent l="0" t="0" r="18415" b="0"/>
              <wp:wrapNone/>
              <wp:docPr id="2107470679" name="Text Box 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365760"/>
                      </a:xfrm>
                      <a:prstGeom prst="rect">
                        <a:avLst/>
                      </a:prstGeom>
                      <a:noFill/>
                      <a:ln>
                        <a:noFill/>
                      </a:ln>
                    </wps:spPr>
                    <wps:txbx>
                      <w:txbxContent>
                        <w:p w14:paraId="2F9D24FB" w14:textId="3AA07538" w:rsidR="00A610F5" w:rsidRPr="00A610F5" w:rsidRDefault="00A610F5" w:rsidP="00A610F5">
                          <w:pPr>
                            <w:rPr>
                              <w:rFonts w:ascii="Arial" w:eastAsia="Arial" w:hAnsi="Arial" w:cs="Arial"/>
                              <w:noProof/>
                              <w:color w:val="003EC8"/>
                              <w:sz w:val="24"/>
                              <w:szCs w:val="24"/>
                            </w:rPr>
                          </w:pPr>
                          <w:r w:rsidRPr="00A610F5">
                            <w:rPr>
                              <w:rFonts w:ascii="Arial" w:eastAsia="Arial" w:hAnsi="Arial" w:cs="Arial"/>
                              <w:noProof/>
                              <w:color w:val="003EC8"/>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B80E3DA" id="_x0000_t202" coordsize="21600,21600" o:spt="202" path="m,l,21600r21600,l21600,xe">
              <v:stroke joinstyle="miter"/>
              <v:path gradientshapeok="t" o:connecttype="rect"/>
            </v:shapetype>
            <v:shape id="Text Box 2" o:spid="_x0000_s1026" type="#_x0000_t202" alt="OFFICIAL" style="position:absolute;margin-left:0;margin-top:0;width:54.05pt;height:28.8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qXyCwIAABUEAAAOAAAAZHJzL2Uyb0RvYy54bWysU01v2zAMvQ/YfxB0X+y0S9YZcYqsRYYB&#10;RVsgHXpWZDk2IIkCpcTOfv0oxU62bqdhF5kmKX6897S47Y1mB4W+BVvy6STnTFkJVWt3Jf/+sv5w&#10;w5kPwlZCg1UlPyrPb5fv3y06V6graEBXChkVsb7oXMmbEFyRZV42ygg/AacsBWtAIwL94i6rUHRU&#10;3ejsKs/nWQdYOQSpvCfv/SnIl6l+XSsZnuraq8B0yWm2kE5M5zae2XIhih0K17RyGEP8wxRGtJaa&#10;nkvdiyDYHts/SplWIniow0SCyaCuW6nSDrTNNH+zzaYRTqVdCBzvzjD5/1dWPh427hlZ6L9ATwRG&#10;QDrnC0/OuE9fo4lfmpRRnCA8nmFTfWCSnPOb+cfrGWeSQtfz2ad5gjW7XHbow1cFhkWj5EisJLDE&#10;4cEHakipY0rsZWHdap2Y0fY3ByVGT3aZMFqh3/bD2FuojrQNwolo7+S6pZ4PwodngcQsLUBqDU90&#10;1Bq6ksNgcdYA/vibP+YT4BTlrCOllNySlDnT3ywREUU1Gjga22RMP+eznOJ2b+6A9Delp+BkMsmL&#10;QY9mjWBeScer2IhCwkpqV/LtaN6Fk2TpHUi1WqUk0o8T4cFunIylI04RxJf+VaAbkA5E0SOMMhLF&#10;G8BPufGmd6t9INgTGxHTE5AD1KS9RNLwTqK4f/1PWZfXvPwJAAD//wMAUEsDBBQABgAIAAAAIQDj&#10;+R6B2gAAAAQBAAAPAAAAZHJzL2Rvd25yZXYueG1sTI/BSsNAEIbvgu+wjODNbtpiLTGbIgVPFaGt&#10;F2/b3WkSzc6G7KRN396pF70MDP/PN98UqzG06oR9aiIZmE4yUEgu+oYqAx/714clqMSWvG0joYEL&#10;JliVtzeFzX080xZPO66UQCjl1kDN3OVaJ1djsGkSOyTJjrEPlmXtK+17exZ4aPUsyxY62IbkQm07&#10;XNfovndDMPC45bfhnfbzz3F2+dp0azc/bpwx93fjyzMoxpH/ynDVF3UoxekQB/JJtQbkEf6d1yxb&#10;TkEdBPy0AF0W+r98+QMAAP//AwBQSwECLQAUAAYACAAAACEAtoM4kv4AAADhAQAAEwAAAAAAAAAA&#10;AAAAAAAAAAAAW0NvbnRlbnRfVHlwZXNdLnhtbFBLAQItABQABgAIAAAAIQA4/SH/1gAAAJQBAAAL&#10;AAAAAAAAAAAAAAAAAC8BAABfcmVscy8ucmVsc1BLAQItABQABgAIAAAAIQDpUqXyCwIAABUEAAAO&#10;AAAAAAAAAAAAAAAAAC4CAABkcnMvZTJvRG9jLnhtbFBLAQItABQABgAIAAAAIQDj+R6B2gAAAAQB&#10;AAAPAAAAAAAAAAAAAAAAAGUEAABkcnMvZG93bnJldi54bWxQSwUGAAAAAAQABADzAAAAbAUAAAAA&#10;" filled="f" stroked="f">
              <v:fill o:detectmouseclick="t"/>
              <v:textbox style="mso-fit-shape-to-text:t" inset="0,0,0,15pt">
                <w:txbxContent>
                  <w:p w14:paraId="2F9D24FB" w14:textId="3AA07538" w:rsidR="00A610F5" w:rsidRPr="00A610F5" w:rsidRDefault="00A610F5" w:rsidP="00A610F5">
                    <w:pPr>
                      <w:rPr>
                        <w:rFonts w:ascii="Arial" w:eastAsia="Arial" w:hAnsi="Arial" w:cs="Arial"/>
                        <w:noProof/>
                        <w:color w:val="003EC8"/>
                        <w:sz w:val="24"/>
                        <w:szCs w:val="24"/>
                      </w:rPr>
                    </w:pPr>
                    <w:r w:rsidRPr="00A610F5">
                      <w:rPr>
                        <w:rFonts w:ascii="Arial" w:eastAsia="Arial" w:hAnsi="Arial" w:cs="Arial"/>
                        <w:noProof/>
                        <w:color w:val="003EC8"/>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3A996" w14:textId="21F3F347" w:rsidR="00A610F5" w:rsidRDefault="00A610F5">
    <w:pPr>
      <w:pStyle w:val="Footer"/>
    </w:pPr>
    <w:r>
      <w:rPr>
        <w:noProof/>
      </w:rPr>
      <mc:AlternateContent>
        <mc:Choice Requires="wps">
          <w:drawing>
            <wp:anchor distT="0" distB="0" distL="0" distR="0" simplePos="0" relativeHeight="251660288" behindDoc="0" locked="0" layoutInCell="1" allowOverlap="1" wp14:anchorId="26C8A324" wp14:editId="778F1145">
              <wp:simplePos x="914400" y="10071100"/>
              <wp:positionH relativeFrom="page">
                <wp:align>center</wp:align>
              </wp:positionH>
              <wp:positionV relativeFrom="page">
                <wp:align>bottom</wp:align>
              </wp:positionV>
              <wp:extent cx="686435" cy="365760"/>
              <wp:effectExtent l="0" t="0" r="18415" b="0"/>
              <wp:wrapNone/>
              <wp:docPr id="392320714" name="Text Box 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365760"/>
                      </a:xfrm>
                      <a:prstGeom prst="rect">
                        <a:avLst/>
                      </a:prstGeom>
                      <a:noFill/>
                      <a:ln>
                        <a:noFill/>
                      </a:ln>
                    </wps:spPr>
                    <wps:txbx>
                      <w:txbxContent>
                        <w:p w14:paraId="58FD9847" w14:textId="4701958C" w:rsidR="00A610F5" w:rsidRPr="00A610F5" w:rsidRDefault="00A610F5" w:rsidP="00A610F5">
                          <w:pPr>
                            <w:rPr>
                              <w:rFonts w:ascii="Arial" w:eastAsia="Arial" w:hAnsi="Arial" w:cs="Arial"/>
                              <w:noProof/>
                              <w:color w:val="003EC8"/>
                              <w:sz w:val="24"/>
                              <w:szCs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6C8A324" id="_x0000_t202" coordsize="21600,21600" o:spt="202" path="m,l,21600r21600,l21600,xe">
              <v:stroke joinstyle="miter"/>
              <v:path gradientshapeok="t" o:connecttype="rect"/>
            </v:shapetype>
            <v:shape id="Text Box 3" o:spid="_x0000_s1027" type="#_x0000_t202" alt="OFFICIAL" style="position:absolute;margin-left:0;margin-top:0;width:54.05pt;height:28.8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owjDgIAABwEAAAOAAAAZHJzL2Uyb0RvYy54bWysU01v2zAMvQ/YfxB0X+y0S9YZcYqsRYYB&#10;QVsgHXpWZCk2YIkCpcTOfv0oJU7abqdhF5kmKX689zS77U3L9gp9A7bk41HOmbISqsZuS/7zefnp&#10;hjMfhK1EC1aV/KA8v51//DDrXKGuoIa2UsioiPVF50peh+CKLPOyVkb4EThlKagBjQj0i9usQtFR&#10;ddNmV3k+zTrAyiFI5T15749BPk/1tVYyPGrtVWBtyWm2kE5M5yae2Xwmii0KVzfyNIb4hymMaCw1&#10;PZe6F0GwHTZ/lDKNRPCgw0iCyUDrRqq0A20zzt9ts66FU2kXAse7M0z+/5WVD/u1e0IW+m/QE4ER&#10;kM75wpMz7tNrNPFLkzKKE4SHM2yqD0ySc3oz/Xw94UxS6Ho6+TJNsGaXyw59+K7AsGiUHImVBJbY&#10;r3yghpQ6pMReFpZN2yZmWvvGQYnRk10mjFboNz1rqlfTb6A60FIIR769k8uGWq+ED08CiWDag0Qb&#10;HunQLXQlh5PFWQ3462/+mE+4U5SzjgRTckuK5qz9YYmPqK3BwMHYJGP8NZ/kFLc7cwckwzG9CCeT&#10;SV4M7WBqBPNCcl7ERhQSVlK7km8G8y4clUvPQarFIiWRjJwIK7t2MpaOcEUsn/sXge4EeCCmHmBQ&#10;kyje4X7MjTe9W+wCoZ9IidAegTwhThJMXJ2eS9T46/+UdXnU898AAAD//wMAUEsDBBQABgAIAAAA&#10;IQDj+R6B2gAAAAQBAAAPAAAAZHJzL2Rvd25yZXYueG1sTI/BSsNAEIbvgu+wjODNbtpiLTGbIgVP&#10;FaGtF2/b3WkSzc6G7KRN396pF70MDP/PN98UqzG06oR9aiIZmE4yUEgu+oYqAx/714clqMSWvG0j&#10;oYELJliVtzeFzX080xZPO66UQCjl1kDN3OVaJ1djsGkSOyTJjrEPlmXtK+17exZ4aPUsyxY62Ibk&#10;Qm07XNfovndDMPC45bfhnfbzz3F2+dp0azc/bpwx93fjyzMoxpH/ynDVF3UoxekQB/JJtQbkEf6d&#10;1yxbTkEdBPy0AF0W+r98+QMAAP//AwBQSwECLQAUAAYACAAAACEAtoM4kv4AAADhAQAAEwAAAAAA&#10;AAAAAAAAAAAAAAAAW0NvbnRlbnRfVHlwZXNdLnhtbFBLAQItABQABgAIAAAAIQA4/SH/1gAAAJQB&#10;AAALAAAAAAAAAAAAAAAAAC8BAABfcmVscy8ucmVsc1BLAQItABQABgAIAAAAIQBdHowjDgIAABwE&#10;AAAOAAAAAAAAAAAAAAAAAC4CAABkcnMvZTJvRG9jLnhtbFBLAQItABQABgAIAAAAIQDj+R6B2gAA&#10;AAQBAAAPAAAAAAAAAAAAAAAAAGgEAABkcnMvZG93bnJldi54bWxQSwUGAAAAAAQABADzAAAAbwUA&#10;AAAA&#10;" filled="f" stroked="f">
              <v:fill o:detectmouseclick="t"/>
              <v:textbox style="mso-fit-shape-to-text:t" inset="0,0,0,15pt">
                <w:txbxContent>
                  <w:p w14:paraId="58FD9847" w14:textId="4701958C" w:rsidR="00A610F5" w:rsidRPr="00A610F5" w:rsidRDefault="00A610F5" w:rsidP="00A610F5">
                    <w:pPr>
                      <w:rPr>
                        <w:rFonts w:ascii="Arial" w:eastAsia="Arial" w:hAnsi="Arial" w:cs="Arial"/>
                        <w:noProof/>
                        <w:color w:val="003EC8"/>
                        <w:sz w:val="24"/>
                        <w:szCs w:val="24"/>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117FE" w14:textId="0B20800A" w:rsidR="00A610F5" w:rsidRDefault="00A610F5">
    <w:pPr>
      <w:pStyle w:val="Footer"/>
    </w:pPr>
    <w:r>
      <w:rPr>
        <w:noProof/>
      </w:rPr>
      <mc:AlternateContent>
        <mc:Choice Requires="wps">
          <w:drawing>
            <wp:anchor distT="0" distB="0" distL="0" distR="0" simplePos="0" relativeHeight="251658240" behindDoc="0" locked="0" layoutInCell="1" allowOverlap="1" wp14:anchorId="78DCC59D" wp14:editId="1E829E28">
              <wp:simplePos x="635" y="635"/>
              <wp:positionH relativeFrom="page">
                <wp:align>center</wp:align>
              </wp:positionH>
              <wp:positionV relativeFrom="page">
                <wp:align>bottom</wp:align>
              </wp:positionV>
              <wp:extent cx="686435" cy="365760"/>
              <wp:effectExtent l="0" t="0" r="18415" b="0"/>
              <wp:wrapNone/>
              <wp:docPr id="876470730" name="Text Box 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365760"/>
                      </a:xfrm>
                      <a:prstGeom prst="rect">
                        <a:avLst/>
                      </a:prstGeom>
                      <a:noFill/>
                      <a:ln>
                        <a:noFill/>
                      </a:ln>
                    </wps:spPr>
                    <wps:txbx>
                      <w:txbxContent>
                        <w:p w14:paraId="3D22DD1A" w14:textId="7D890296" w:rsidR="00A610F5" w:rsidRPr="00A610F5" w:rsidRDefault="00A610F5" w:rsidP="00A610F5">
                          <w:pPr>
                            <w:rPr>
                              <w:rFonts w:ascii="Arial" w:eastAsia="Arial" w:hAnsi="Arial" w:cs="Arial"/>
                              <w:noProof/>
                              <w:color w:val="003EC8"/>
                              <w:sz w:val="24"/>
                              <w:szCs w:val="24"/>
                            </w:rPr>
                          </w:pPr>
                          <w:r w:rsidRPr="00A610F5">
                            <w:rPr>
                              <w:rFonts w:ascii="Arial" w:eastAsia="Arial" w:hAnsi="Arial" w:cs="Arial"/>
                              <w:noProof/>
                              <w:color w:val="003EC8"/>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8DCC59D" id="_x0000_t202" coordsize="21600,21600" o:spt="202" path="m,l,21600r21600,l21600,xe">
              <v:stroke joinstyle="miter"/>
              <v:path gradientshapeok="t" o:connecttype="rect"/>
            </v:shapetype>
            <v:shape id="Text Box 1" o:spid="_x0000_s1028" type="#_x0000_t202" alt="OFFICIAL" style="position:absolute;margin-left:0;margin-top:0;width:54.05pt;height:28.8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1tlEAIAABwEAAAOAAAAZHJzL2Uyb0RvYy54bWysU02P2jAQvVfqf7B8LwlsoduIsKK7oqqE&#10;dldiqz0bxyaRYo81NiT013dsCLTbnqpenMnMeD7ee57f9aZlB4W+AVvy8SjnTFkJVWN3Jf/+svpw&#10;y5kPwlaiBatKflSe3y3ev5t3rlATqKGtFDIqYn3RuZLXIbgiy7yslRF+BE5ZCmpAIwL94i6rUHRU&#10;3bTZJM9nWQdYOQSpvCfvwynIF6m+1kqGJ629CqwtOc0W0onp3MYzW8xFsUPh6kaexxD/MIURjaWm&#10;l1IPIgi2x+aPUqaRCB50GEkwGWjdSJV2oG3G+ZttNrVwKu1C4Hh3gcn/v7Ly8bBxz8hC/wV6IjAC&#10;0jlfeHLGfXqNJn5pUkZxgvB4gU31gUlyzm5nH2+mnEkK3cymn2YJ1ux62aEPXxUYFo2SI7GSwBKH&#10;tQ/UkFKHlNjLwqpp28RMa39zUGL0ZNcJoxX6bc+aquSTYfotVEdaCuHEt3dy1VDrtfDhWSARTHuQ&#10;aMMTHbqFruRwtjirAX/8zR/zCXeKctaRYEpuSdGctd8s8RG1NRg4GNtkjD/n05zidm/ugWQ4phfh&#10;ZDLJi6EdTI1gXknOy9iIQsJKalfy7WDeh5Ny6TlItVymJJKRE2FtN07G0hGuiOVL/yrQnQEPxNQj&#10;DGoSxRvcT7nxpnfLfSD0EykR2hOQZ8RJgomr83OJGv/1P2VdH/XiJwAAAP//AwBQSwMEFAAGAAgA&#10;AAAhAOP5HoHaAAAABAEAAA8AAABkcnMvZG93bnJldi54bWxMj8FKw0AQhu+C77CM4M1u2mItMZsi&#10;BU8Voa0Xb9vdaRLNzobspE3f3qkXvQwM/8833xSrMbTqhH1qIhmYTjJQSC76hioDH/vXhyWoxJa8&#10;bSOhgQsmWJW3N4XNfTzTFk87rpRAKOXWQM3c5VonV2OwaRI7JMmOsQ+WZe0r7Xt7Fnho9SzLFjrY&#10;huRCbTtc1+i+d0Mw8Ljlt+Gd9vPPcXb52nRrNz9unDH3d+PLMyjGkf/KcNUXdSjF6RAH8km1BuQR&#10;/p3XLFtOQR0E/LQAXRb6v3z5AwAA//8DAFBLAQItABQABgAIAAAAIQC2gziS/gAAAOEBAAATAAAA&#10;AAAAAAAAAAAAAAAAAABbQ29udGVudF9UeXBlc10ueG1sUEsBAi0AFAAGAAgAAAAhADj9If/WAAAA&#10;lAEAAAsAAAAAAAAAAAAAAAAALwEAAF9yZWxzLy5yZWxzUEsBAi0AFAAGAAgAAAAhAOrfW2UQAgAA&#10;HAQAAA4AAAAAAAAAAAAAAAAALgIAAGRycy9lMm9Eb2MueG1sUEsBAi0AFAAGAAgAAAAhAOP5HoHa&#10;AAAABAEAAA8AAAAAAAAAAAAAAAAAagQAAGRycy9kb3ducmV2LnhtbFBLBQYAAAAABAAEAPMAAABx&#10;BQAAAAA=&#10;" filled="f" stroked="f">
              <v:fill o:detectmouseclick="t"/>
              <v:textbox style="mso-fit-shape-to-text:t" inset="0,0,0,15pt">
                <w:txbxContent>
                  <w:p w14:paraId="3D22DD1A" w14:textId="7D890296" w:rsidR="00A610F5" w:rsidRPr="00A610F5" w:rsidRDefault="00A610F5" w:rsidP="00A610F5">
                    <w:pPr>
                      <w:rPr>
                        <w:rFonts w:ascii="Arial" w:eastAsia="Arial" w:hAnsi="Arial" w:cs="Arial"/>
                        <w:noProof/>
                        <w:color w:val="003EC8"/>
                        <w:sz w:val="24"/>
                        <w:szCs w:val="24"/>
                      </w:rPr>
                    </w:pPr>
                    <w:r w:rsidRPr="00A610F5">
                      <w:rPr>
                        <w:rFonts w:ascii="Arial" w:eastAsia="Arial" w:hAnsi="Arial" w:cs="Arial"/>
                        <w:noProof/>
                        <w:color w:val="003EC8"/>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8D9135" w14:textId="77777777" w:rsidR="001F51CD" w:rsidRDefault="001F51CD" w:rsidP="00A610F5">
      <w:r>
        <w:separator/>
      </w:r>
    </w:p>
  </w:footnote>
  <w:footnote w:type="continuationSeparator" w:id="0">
    <w:p w14:paraId="0CD63EB4" w14:textId="77777777" w:rsidR="001F51CD" w:rsidRDefault="001F51CD" w:rsidP="00A610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8306BE"/>
    <w:multiLevelType w:val="hybridMultilevel"/>
    <w:tmpl w:val="AB08D416"/>
    <w:lvl w:ilvl="0" w:tplc="D10EAA34">
      <w:start w:val="1"/>
      <w:numFmt w:val="bullet"/>
      <w:lvlText w:val="●"/>
      <w:lvlJc w:val="left"/>
      <w:pPr>
        <w:ind w:left="720" w:hanging="360"/>
      </w:pPr>
    </w:lvl>
    <w:lvl w:ilvl="1" w:tplc="1674AAE6">
      <w:start w:val="1"/>
      <w:numFmt w:val="bullet"/>
      <w:lvlText w:val="○"/>
      <w:lvlJc w:val="left"/>
      <w:pPr>
        <w:ind w:left="1440" w:hanging="360"/>
      </w:pPr>
    </w:lvl>
    <w:lvl w:ilvl="2" w:tplc="B9B27130">
      <w:start w:val="1"/>
      <w:numFmt w:val="bullet"/>
      <w:lvlText w:val="■"/>
      <w:lvlJc w:val="left"/>
      <w:pPr>
        <w:ind w:left="2160" w:hanging="360"/>
      </w:pPr>
    </w:lvl>
    <w:lvl w:ilvl="3" w:tplc="ABAA2594">
      <w:start w:val="1"/>
      <w:numFmt w:val="bullet"/>
      <w:lvlText w:val="●"/>
      <w:lvlJc w:val="left"/>
      <w:pPr>
        <w:ind w:left="2880" w:hanging="360"/>
      </w:pPr>
    </w:lvl>
    <w:lvl w:ilvl="4" w:tplc="E174A462">
      <w:start w:val="1"/>
      <w:numFmt w:val="bullet"/>
      <w:lvlText w:val="○"/>
      <w:lvlJc w:val="left"/>
      <w:pPr>
        <w:ind w:left="3600" w:hanging="360"/>
      </w:pPr>
    </w:lvl>
    <w:lvl w:ilvl="5" w:tplc="D050295E">
      <w:start w:val="1"/>
      <w:numFmt w:val="bullet"/>
      <w:lvlText w:val="■"/>
      <w:lvlJc w:val="left"/>
      <w:pPr>
        <w:ind w:left="4320" w:hanging="360"/>
      </w:pPr>
    </w:lvl>
    <w:lvl w:ilvl="6" w:tplc="5236400A">
      <w:start w:val="1"/>
      <w:numFmt w:val="bullet"/>
      <w:lvlText w:val="●"/>
      <w:lvlJc w:val="left"/>
      <w:pPr>
        <w:ind w:left="5040" w:hanging="360"/>
      </w:pPr>
    </w:lvl>
    <w:lvl w:ilvl="7" w:tplc="41084D84">
      <w:start w:val="1"/>
      <w:numFmt w:val="bullet"/>
      <w:lvlText w:val="●"/>
      <w:lvlJc w:val="left"/>
      <w:pPr>
        <w:ind w:left="5760" w:hanging="360"/>
      </w:pPr>
    </w:lvl>
    <w:lvl w:ilvl="8" w:tplc="39223A66">
      <w:start w:val="1"/>
      <w:numFmt w:val="bullet"/>
      <w:lvlText w:val="●"/>
      <w:lvlJc w:val="left"/>
      <w:pPr>
        <w:ind w:left="6480" w:hanging="360"/>
      </w:pPr>
    </w:lvl>
  </w:abstractNum>
  <w:num w:numId="1" w16cid:durableId="200897046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3821"/>
    <w:rsid w:val="000B4036"/>
    <w:rsid w:val="000F71D8"/>
    <w:rsid w:val="001F51CD"/>
    <w:rsid w:val="005E33E4"/>
    <w:rsid w:val="00A610F5"/>
    <w:rsid w:val="00AE63FF"/>
    <w:rsid w:val="00B93821"/>
    <w:rsid w:val="00F57A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2CD6C2"/>
  <w15:docId w15:val="{47C35E16-188E-4DA4-BC9C-15E83966B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Footer">
    <w:name w:val="footer"/>
    <w:basedOn w:val="Normal"/>
    <w:link w:val="FooterChar"/>
    <w:uiPriority w:val="99"/>
    <w:unhideWhenUsed/>
    <w:rsid w:val="00A610F5"/>
    <w:pPr>
      <w:tabs>
        <w:tab w:val="center" w:pos="4513"/>
        <w:tab w:val="right" w:pos="9026"/>
      </w:tabs>
    </w:pPr>
  </w:style>
  <w:style w:type="character" w:customStyle="1" w:styleId="FooterChar">
    <w:name w:val="Footer Char"/>
    <w:basedOn w:val="DefaultParagraphFont"/>
    <w:link w:val="Footer"/>
    <w:uiPriority w:val="99"/>
    <w:rsid w:val="00A610F5"/>
  </w:style>
  <w:style w:type="paragraph" w:styleId="Header">
    <w:name w:val="header"/>
    <w:basedOn w:val="Normal"/>
    <w:link w:val="HeaderChar"/>
    <w:uiPriority w:val="99"/>
    <w:unhideWhenUsed/>
    <w:rsid w:val="00A610F5"/>
    <w:pPr>
      <w:tabs>
        <w:tab w:val="center" w:pos="4513"/>
        <w:tab w:val="right" w:pos="9026"/>
      </w:tabs>
    </w:pPr>
  </w:style>
  <w:style w:type="character" w:customStyle="1" w:styleId="HeaderChar">
    <w:name w:val="Header Char"/>
    <w:basedOn w:val="DefaultParagraphFont"/>
    <w:link w:val="Header"/>
    <w:uiPriority w:val="99"/>
    <w:rsid w:val="00A610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ef975da0-2206-4296-8b08-8eab8a965a3b}" enabled="1" method="Privileged" siteId="{cdb92d10-23cb-4ac1-a9b3-34f4faaa2851}" contentBits="2" removed="0"/>
</clbl:labelList>
</file>

<file path=docProps/app.xml><?xml version="1.0" encoding="utf-8"?>
<Properties xmlns="http://schemas.openxmlformats.org/officeDocument/2006/extended-properties" xmlns:vt="http://schemas.openxmlformats.org/officeDocument/2006/docPropsVTypes">
  <Template>Normal</Template>
  <TotalTime>6</TotalTime>
  <Pages>4</Pages>
  <Words>1726</Words>
  <Characters>9842</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TIVEY, Sadie</cp:lastModifiedBy>
  <cp:revision>3</cp:revision>
  <dcterms:created xsi:type="dcterms:W3CDTF">2026-09-01T10:23:00Z</dcterms:created>
  <dcterms:modified xsi:type="dcterms:W3CDTF">2026-09-30T15:43:00Z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343de1ca,7d9d7357,176256ca</vt:lpwstr>
  </property>
  <property fmtid="{D5CDD505-2E9C-101B-9397-08002B2CF9AE}" pid="3" name="ClassificationContentMarkingFooterFontProps">
    <vt:lpwstr>#003ec8,12,Arial</vt:lpwstr>
  </property>
  <property fmtid="{D5CDD505-2E9C-101B-9397-08002B2CF9AE}" pid="4" name="ClassificationContentMarkingFooterText">
    <vt:lpwstr>OFFICIAL</vt:lpwstr>
  </property>
</Properties>
</file>