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73B6A" w14:textId="77777777" w:rsidR="00937560" w:rsidRDefault="00ED259E">
      <w:pPr>
        <w:spacing w:after="60"/>
        <w:jc w:val="center"/>
      </w:pPr>
      <w:r>
        <w:rPr>
          <w:rFonts w:ascii="Aptos Display" w:hAnsi="Aptos Display"/>
          <w:b/>
          <w:color w:val="000000"/>
          <w:sz w:val="29"/>
        </w:rPr>
        <w:t>STRONG OBJECTION</w:t>
      </w:r>
    </w:p>
    <w:p w14:paraId="11FF4127" w14:textId="77777777" w:rsidR="00937560" w:rsidRDefault="00ED259E">
      <w:pPr>
        <w:spacing w:after="100"/>
        <w:jc w:val="center"/>
      </w:pPr>
      <w:r>
        <w:rPr>
          <w:b/>
          <w:color w:val="000000"/>
          <w:sz w:val="22"/>
        </w:rPr>
        <w:t>Cheshire East New Local Plan Scoping Consultation</w:t>
      </w:r>
      <w:r>
        <w:rPr>
          <w:b/>
          <w:color w:val="000000"/>
          <w:sz w:val="22"/>
        </w:rPr>
        <w:br/>
        <w:t>Henbury / Whirley / Sandy Lane / Birtles Road, Macclesfield</w:t>
      </w:r>
    </w:p>
    <w:p w14:paraId="08734160" w14:textId="77777777" w:rsidR="00937560" w:rsidRDefault="00ED259E">
      <w:r>
        <w:rPr>
          <w:b/>
          <w:color w:val="000000"/>
        </w:rPr>
        <w:t>I strongly object</w:t>
      </w:r>
      <w:r>
        <w:rPr>
          <w:color w:val="000000"/>
        </w:rPr>
        <w:t xml:space="preserve"> to the potential allocation for substantial residential development of land around Henbury, Whirley, Sandy Lane and Birtles Road, including the land currently identified by Call for Sites references CFS26 590, CFS26 460 and CFS26 557, together with any overlapping or successor submissions.</w:t>
      </w:r>
    </w:p>
    <w:p w14:paraId="489FA8EF" w14:textId="77777777" w:rsidR="00937560" w:rsidRDefault="00ED259E">
      <w:r>
        <w:rPr>
          <w:b/>
          <w:color w:val="000000"/>
        </w:rPr>
        <w:t>I recognise the need for additional housing.</w:t>
      </w:r>
      <w:r>
        <w:rPr>
          <w:color w:val="000000"/>
        </w:rPr>
        <w:t xml:space="preserve"> My objection is to releasing further greenfield/Green Belt land around Henbury and west Macclesfield without first demonstrating that this is necessary, sustainable and preferable to reasonable alternatives.</w:t>
      </w:r>
    </w:p>
    <w:p w14:paraId="79AF4A0E" w14:textId="77777777" w:rsidR="00CB1E6E" w:rsidRDefault="00CB1E6E">
      <w:pPr>
        <w:pStyle w:val="Heading1"/>
        <w:rPr>
          <w:color w:val="000000"/>
        </w:rPr>
      </w:pPr>
      <w:r>
        <w:rPr>
          <w:color w:val="000000"/>
        </w:rPr>
        <w:t>[Redacted]</w:t>
      </w:r>
    </w:p>
    <w:p w14:paraId="748C51BC" w14:textId="28FC7F60" w:rsidR="00937560" w:rsidRDefault="00ED259E">
      <w:pPr>
        <w:pStyle w:val="Heading1"/>
      </w:pPr>
      <w:r>
        <w:rPr>
          <w:color w:val="000000"/>
        </w:rPr>
        <w:t>1. Existing housing supply and actual delivery</w:t>
      </w:r>
    </w:p>
    <w:p w14:paraId="4628802C" w14:textId="77777777" w:rsidR="00937560" w:rsidRDefault="00ED259E">
      <w:r>
        <w:rPr>
          <w:b/>
          <w:color w:val="000000"/>
        </w:rPr>
        <w:t>The headline housing requirement is not the same as the amount of additional undeveloped land that needs to be released.</w:t>
      </w:r>
      <w:r>
        <w:rPr>
          <w:color w:val="000000"/>
        </w:rPr>
        <w:t xml:space="preserve"> Before further countryside is allocated, Cheshire East should deduct realistic delivery from existing permissions, existing allocations, developments already under construction, brownfield land, regeneration opportunities, urban capacity and windfalls.</w:t>
      </w:r>
    </w:p>
    <w:p w14:paraId="1ACA00F6" w14:textId="77777777" w:rsidR="00937560" w:rsidRDefault="00ED259E">
      <w:r>
        <w:rPr>
          <w:b/>
          <w:color w:val="000000"/>
        </w:rPr>
        <w:t>Macclesfield already has a substantial pipeline of permitted and allocated housing.</w:t>
      </w:r>
      <w:r>
        <w:rPr>
          <w:color w:val="000000"/>
        </w:rPr>
        <w:t xml:space="preserve"> The key issue is therefore not simply whether more land can be allocated, but whether housebuilders are actually capable of increasing the rate at which homes are completed and occupied. A shortage in the five-year deliverable supply should not automatically be treated as evidence that insufficient land has already been identified.</w:t>
      </w:r>
    </w:p>
    <w:p w14:paraId="5293A333" w14:textId="77777777" w:rsidR="00937560" w:rsidRDefault="00ED259E">
      <w:r>
        <w:rPr>
          <w:b/>
          <w:color w:val="000000"/>
        </w:rPr>
        <w:t>Before further countryside is released, the Council should publish for Macclesfield the number of permitted-but-unbuilt and allocated-but-unbuilt dwellings, current build-out rates, and the reasons why existing sites are not delivering more quickly.</w:t>
      </w:r>
    </w:p>
    <w:p w14:paraId="04E8C076" w14:textId="77777777" w:rsidR="00937560" w:rsidRDefault="00ED259E">
      <w:pPr>
        <w:pStyle w:val="Heading1"/>
      </w:pPr>
      <w:r>
        <w:rPr>
          <w:color w:val="000000"/>
        </w:rPr>
        <w:t>2. Housing should be related to employment and commuting</w:t>
      </w:r>
    </w:p>
    <w:p w14:paraId="702C15AD" w14:textId="77777777" w:rsidR="00937560" w:rsidRDefault="00ED259E">
      <w:r>
        <w:rPr>
          <w:b/>
          <w:color w:val="000000"/>
        </w:rPr>
        <w:t>There is an obvious and longstanding commuter relationship between Macclesfield and the major employment areas towards Greater Manchester.</w:t>
      </w:r>
      <w:r>
        <w:rPr>
          <w:color w:val="000000"/>
        </w:rPr>
        <w:t xml:space="preserve"> As residents immediately adjacent to the A537 west of Macclesfield, we see a striking tidal pattern every working day: the dominant movement is away from Macclesfield in the morning peak and back towards Macclesfield in the evening.</w:t>
      </w:r>
    </w:p>
    <w:p w14:paraId="6648917F" w14:textId="77777777" w:rsidR="00937560" w:rsidRDefault="00ED259E">
      <w:r>
        <w:rPr>
          <w:b/>
          <w:color w:val="000000"/>
        </w:rPr>
        <w:t>The Local Plan should answer a fundamental question: where will the occupants of the additional houses work?</w:t>
      </w:r>
      <w:r>
        <w:rPr>
          <w:color w:val="000000"/>
        </w:rPr>
        <w:t xml:space="preserve"> If significant numbers will commute towards Manchester, Stockport, Wilmslow, Manchester Airport and other employment centres, further large-scale housing on this side of Macclesfield is likely to increase congestion and car dependency and requires particularly careful justification.</w:t>
      </w:r>
    </w:p>
    <w:p w14:paraId="09029486" w14:textId="77777777" w:rsidR="00937560" w:rsidRDefault="00ED259E">
      <w:pPr>
        <w:pStyle w:val="Heading1"/>
      </w:pPr>
      <w:r>
        <w:rPr>
          <w:color w:val="000000"/>
        </w:rPr>
        <w:t>3. Brownfield and urban alternatives</w:t>
      </w:r>
    </w:p>
    <w:p w14:paraId="430894EC" w14:textId="77777777" w:rsidR="00937560" w:rsidRDefault="00ED259E">
      <w:r>
        <w:rPr>
          <w:b/>
          <w:color w:val="000000"/>
        </w:rPr>
        <w:t>There is substantial housing capacity on previously developed land closer to major employment centres.</w:t>
      </w:r>
      <w:r>
        <w:rPr>
          <w:color w:val="000000"/>
        </w:rPr>
        <w:t xml:space="preserve"> Manchester City Council, for example, identifies more than 94,000 dwellings of potential housing supply when its existing planning pipeline and additional SHLAA capacity are combined; 97% of Manchester housing completions in 2024/25 were on brownfield land.</w:t>
      </w:r>
    </w:p>
    <w:p w14:paraId="3B45FD13" w14:textId="77777777" w:rsidR="00937560" w:rsidRDefault="00ED259E">
      <w:r>
        <w:rPr>
          <w:color w:val="000000"/>
        </w:rPr>
        <w:t>I appreciate that housing requirements cannot simply be transferred between authorities.</w:t>
      </w:r>
      <w:r>
        <w:rPr>
          <w:b/>
          <w:color w:val="000000"/>
        </w:rPr>
        <w:t xml:space="preserve"> However, Cheshire East should demonstrate that the environmental and transport consequences of further commuter development around Macclesfield have genuinely been compared with brownfield, regeneration and more sustainably located alternatives.</w:t>
      </w:r>
    </w:p>
    <w:p w14:paraId="070A857E" w14:textId="77777777" w:rsidR="00937560" w:rsidRDefault="00ED259E">
      <w:r>
        <w:rPr>
          <w:b/>
          <w:color w:val="000000"/>
        </w:rPr>
        <w:t>The objective should be the right housing in the right places, particularly genuinely affordable housing close to employment and public transport.</w:t>
      </w:r>
    </w:p>
    <w:p w14:paraId="39AFE01B" w14:textId="77777777" w:rsidR="00937560" w:rsidRDefault="00ED259E">
      <w:pPr>
        <w:pStyle w:val="Heading1"/>
      </w:pPr>
      <w:r>
        <w:rPr>
          <w:color w:val="000000"/>
        </w:rPr>
        <w:t>4. Infrastructure and cumulative impact</w:t>
      </w:r>
    </w:p>
    <w:p w14:paraId="2B354187" w14:textId="77777777" w:rsidR="00937560" w:rsidRDefault="00ED259E">
      <w:r>
        <w:rPr>
          <w:b/>
          <w:color w:val="000000"/>
        </w:rPr>
        <w:t>Potential development around Henbury and Whirley must not be assessed as a collection of unrelated individual fields.</w:t>
      </w:r>
      <w:r>
        <w:rPr>
          <w:color w:val="000000"/>
        </w:rPr>
        <w:t xml:space="preserve"> The cumulative assessment must include existing permissions and developments already underway, together with traffic and road capacity, schools, GP and hospital provision, public transport, electricity, water, foul drainage and surface-water drainage.</w:t>
      </w:r>
    </w:p>
    <w:p w14:paraId="351FAA17" w14:textId="77777777" w:rsidR="00937560" w:rsidRDefault="00ED259E">
      <w:pPr>
        <w:pStyle w:val="Heading1"/>
      </w:pPr>
      <w:r>
        <w:rPr>
          <w:color w:val="000000"/>
        </w:rPr>
        <w:t>5. Former landfill and environmental constraints</w:t>
      </w:r>
    </w:p>
    <w:p w14:paraId="1ACD0A3A" w14:textId="77777777" w:rsidR="00937560" w:rsidRDefault="00ED259E">
      <w:r>
        <w:rPr>
          <w:b/>
          <w:color w:val="000000"/>
        </w:rPr>
        <w:t>The former Sandy Lane / Whirley Quarry landfill is documented.</w:t>
      </w:r>
      <w:r>
        <w:rPr>
          <w:color w:val="000000"/>
        </w:rPr>
        <w:t xml:space="preserve"> Environment Agency records identify the former landfill at Whirley Quarry, Sandy Lane, and Cheshire East's own previous housing-land assessment </w:t>
      </w:r>
      <w:r>
        <w:rPr>
          <w:color w:val="000000"/>
        </w:rPr>
        <w:lastRenderedPageBreak/>
        <w:t xml:space="preserve">for land west of Roewoods Farm recorded the physical constraint </w:t>
      </w:r>
      <w:r>
        <w:rPr>
          <w:b/>
          <w:color w:val="000000"/>
        </w:rPr>
        <w:t>“Located directly on landfill”</w:t>
      </w:r>
      <w:r>
        <w:rPr>
          <w:color w:val="000000"/>
        </w:rPr>
        <w:t xml:space="preserve"> and required consultation with the Contaminated Land Officer.</w:t>
      </w:r>
    </w:p>
    <w:p w14:paraId="470E0CB1" w14:textId="77777777" w:rsidR="00937560" w:rsidRDefault="00ED259E">
      <w:r>
        <w:rPr>
          <w:b/>
          <w:color w:val="000000"/>
        </w:rPr>
        <w:t>Residential suitability should therefore not be assumed before proper investigation of landfill gas, leachate, groundwater and potential contaminant migration.</w:t>
      </w:r>
      <w:r>
        <w:rPr>
          <w:color w:val="000000"/>
        </w:rPr>
        <w:t xml:space="preserve"> The former landfill and surrounding land also include ponds and habitats of ecological significance, including recorded great crested newt habitat. These matters should inform site selection, rather than being left for investigation after allocation.</w:t>
      </w:r>
    </w:p>
    <w:p w14:paraId="0109AFEE" w14:textId="77777777" w:rsidR="00937560" w:rsidRDefault="00ED259E">
      <w:pPr>
        <w:pStyle w:val="Heading1"/>
      </w:pPr>
      <w:r>
        <w:rPr>
          <w:color w:val="000000"/>
        </w:rPr>
        <w:t>6. Green Belt, countryside and settlement separation</w:t>
      </w:r>
    </w:p>
    <w:p w14:paraId="6BAEF7D4" w14:textId="77777777" w:rsidR="00937560" w:rsidRDefault="00ED259E">
      <w:r>
        <w:rPr>
          <w:b/>
          <w:color w:val="000000"/>
        </w:rPr>
        <w:t>Considered cumulatively, these sites could represent a substantial extension of Macclesfield towards Henbury and Whirley.</w:t>
      </w:r>
      <w:r>
        <w:rPr>
          <w:color w:val="000000"/>
        </w:rPr>
        <w:t xml:space="preserve"> The Council should assess urban sprawl, loss of countryside, settlement separation, landscape character, agricultural land, ecological connectivity and the setting of Grade II* Whirley Hall before any residential allocation is contemplated.</w:t>
      </w:r>
    </w:p>
    <w:p w14:paraId="32666CF7" w14:textId="77777777" w:rsidR="00937560" w:rsidRDefault="00ED259E">
      <w:pPr>
        <w:pStyle w:val="Heading1"/>
      </w:pPr>
      <w:r>
        <w:rPr>
          <w:color w:val="000000"/>
        </w:rPr>
        <w:t>Conclusion</w:t>
      </w:r>
    </w:p>
    <w:p w14:paraId="1E6F02CB" w14:textId="77777777" w:rsidR="00937560" w:rsidRDefault="00ED259E">
      <w:r>
        <w:rPr>
          <w:b/>
          <w:color w:val="000000"/>
        </w:rPr>
        <w:t>I therefore ask Cheshire East not to progress substantial additional housing allocations around Henbury and Whirley unless and until it has published convincing evidence demonstrating:</w:t>
      </w:r>
    </w:p>
    <w:p w14:paraId="23CAEF07" w14:textId="77777777" w:rsidR="00937560" w:rsidRDefault="00ED259E">
      <w:pPr>
        <w:pStyle w:val="ListBullet"/>
        <w:spacing w:after="28"/>
        <w:ind w:left="259" w:hanging="173"/>
      </w:pPr>
      <w:r>
        <w:rPr>
          <w:b/>
          <w:color w:val="000000"/>
        </w:rPr>
        <w:t>the genuine residual requirement for additional housing land after existing permissions, allocations and brownfield capacity are taken into account;</w:t>
      </w:r>
    </w:p>
    <w:p w14:paraId="3B40ABBF" w14:textId="77777777" w:rsidR="00937560" w:rsidRDefault="00ED259E">
      <w:pPr>
        <w:pStyle w:val="ListBullet"/>
        <w:spacing w:after="28"/>
        <w:ind w:left="259" w:hanging="173"/>
      </w:pPr>
      <w:r>
        <w:rPr>
          <w:b/>
          <w:color w:val="000000"/>
        </w:rPr>
        <w:t>why the existing Macclesfield housing pipeline is not delivering sufficiently rapidly and why allocating still more land would improve delivery;</w:t>
      </w:r>
    </w:p>
    <w:p w14:paraId="3B098DD0" w14:textId="77777777" w:rsidR="00937560" w:rsidRDefault="00ED259E">
      <w:pPr>
        <w:pStyle w:val="ListBullet"/>
        <w:spacing w:after="28"/>
        <w:ind w:left="259" w:hanging="173"/>
      </w:pPr>
      <w:r>
        <w:rPr>
          <w:color w:val="000000"/>
        </w:rPr>
        <w:t>where the employment associated with additional housing will be located and the resulting commuting and traffic implications;</w:t>
      </w:r>
    </w:p>
    <w:p w14:paraId="78922CB7" w14:textId="77777777" w:rsidR="00937560" w:rsidRDefault="00ED259E">
      <w:pPr>
        <w:pStyle w:val="ListBullet"/>
        <w:spacing w:after="28"/>
        <w:ind w:left="259" w:hanging="173"/>
      </w:pPr>
      <w:r>
        <w:rPr>
          <w:color w:val="000000"/>
        </w:rPr>
        <w:t>that cumulative infrastructure capacity is adequate and deliverable;</w:t>
      </w:r>
    </w:p>
    <w:p w14:paraId="1ACA659D" w14:textId="77777777" w:rsidR="00937560" w:rsidRDefault="00ED259E">
      <w:pPr>
        <w:pStyle w:val="ListBullet"/>
        <w:spacing w:after="28"/>
        <w:ind w:left="259" w:hanging="173"/>
      </w:pPr>
      <w:r>
        <w:rPr>
          <w:color w:val="000000"/>
        </w:rPr>
        <w:t>that the landfill, contamination, ecological, landscape and heritage constraints can satisfactorily be addressed; and</w:t>
      </w:r>
    </w:p>
    <w:p w14:paraId="61A8F8B2" w14:textId="77777777" w:rsidR="00937560" w:rsidRDefault="00ED259E">
      <w:pPr>
        <w:pStyle w:val="ListBullet"/>
        <w:spacing w:after="28"/>
        <w:ind w:left="259" w:hanging="173"/>
      </w:pPr>
      <w:r>
        <w:rPr>
          <w:b/>
          <w:color w:val="000000"/>
        </w:rPr>
        <w:t>that development here represents a more sustainable solution than reasonable brownfield and less environmentally constrained alternatives.</w:t>
      </w:r>
    </w:p>
    <w:p w14:paraId="2A59BB81" w14:textId="77777777" w:rsidR="00937560" w:rsidRDefault="00ED259E">
      <w:pPr>
        <w:spacing w:after="60"/>
      </w:pPr>
      <w:r>
        <w:rPr>
          <w:b/>
          <w:color w:val="000000"/>
        </w:rPr>
        <w:t>Housing numbers alone should not determine the spatial strategy.</w:t>
      </w:r>
      <w:r>
        <w:rPr>
          <w:color w:val="000000"/>
        </w:rPr>
        <w:t xml:space="preserve"> The purpose of the Local Plan should be to deliver necessary housing in sustainable locations, supported by employment and infrastructure, while avoiding unnecessary loss of countryside where reasonable alternatives exist.</w:t>
      </w:r>
    </w:p>
    <w:p w14:paraId="4F7AFA7C" w14:textId="77777777" w:rsidR="00937560" w:rsidRDefault="00ED259E">
      <w:pPr>
        <w:spacing w:after="80"/>
      </w:pPr>
      <w:r>
        <w:rPr>
          <w:b/>
          <w:color w:val="000000"/>
        </w:rPr>
        <w:t>Please record this Strong Objection as my formal representation</w:t>
      </w:r>
      <w:r>
        <w:rPr>
          <w:color w:val="000000"/>
        </w:rPr>
        <w:t xml:space="preserve"> against CFS26 590, CFS26 460 and CFS26 557 where these remain the relevant references, together with any overlapping or successor site submissions affecting the same land.</w:t>
      </w:r>
    </w:p>
    <w:p w14:paraId="3BE850D9" w14:textId="77777777" w:rsidR="00937560" w:rsidRDefault="00ED259E">
      <w:pPr>
        <w:spacing w:before="60" w:after="20"/>
      </w:pPr>
      <w:r>
        <w:rPr>
          <w:b/>
          <w:color w:val="000000"/>
        </w:rPr>
        <w:t>Charles McCollum</w:t>
      </w:r>
    </w:p>
    <w:p w14:paraId="5A725A97" w14:textId="43D0F05A" w:rsidR="00937560" w:rsidRDefault="00937560">
      <w:pPr>
        <w:spacing w:after="0" w:line="240" w:lineRule="auto"/>
      </w:pPr>
    </w:p>
    <w:sectPr w:rsidR="00937560" w:rsidSect="00034616">
      <w:footerReference w:type="even" r:id="rId8"/>
      <w:footerReference w:type="default" r:id="rId9"/>
      <w:footerReference w:type="first" r:id="rId10"/>
      <w:pgSz w:w="11905" w:h="16838"/>
      <w:pgMar w:top="835" w:right="1037" w:bottom="57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6FABD" w14:textId="77777777" w:rsidR="00B01C66" w:rsidRDefault="00B01C66" w:rsidP="00177C18">
      <w:pPr>
        <w:spacing w:after="0" w:line="240" w:lineRule="auto"/>
      </w:pPr>
      <w:r>
        <w:separator/>
      </w:r>
    </w:p>
  </w:endnote>
  <w:endnote w:type="continuationSeparator" w:id="0">
    <w:p w14:paraId="6616243C" w14:textId="77777777" w:rsidR="00B01C66" w:rsidRDefault="00B01C66" w:rsidP="00177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1F059" w14:textId="4B09B0A0" w:rsidR="00177C18" w:rsidRDefault="00177C18">
    <w:pPr>
      <w:pStyle w:val="Footer"/>
    </w:pPr>
    <w:r>
      <w:rPr>
        <w:noProof/>
      </w:rPr>
      <mc:AlternateContent>
        <mc:Choice Requires="wps">
          <w:drawing>
            <wp:anchor distT="0" distB="0" distL="0" distR="0" simplePos="0" relativeHeight="251659264" behindDoc="0" locked="0" layoutInCell="1" allowOverlap="1" wp14:anchorId="4DC9BF51" wp14:editId="39ECE1F8">
              <wp:simplePos x="635" y="635"/>
              <wp:positionH relativeFrom="page">
                <wp:align>center</wp:align>
              </wp:positionH>
              <wp:positionV relativeFrom="page">
                <wp:align>bottom</wp:align>
              </wp:positionV>
              <wp:extent cx="686435" cy="369570"/>
              <wp:effectExtent l="0" t="0" r="18415" b="0"/>
              <wp:wrapNone/>
              <wp:docPr id="726298121"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9570"/>
                      </a:xfrm>
                      <a:prstGeom prst="rect">
                        <a:avLst/>
                      </a:prstGeom>
                      <a:noFill/>
                      <a:ln>
                        <a:noFill/>
                      </a:ln>
                    </wps:spPr>
                    <wps:txbx>
                      <w:txbxContent>
                        <w:p w14:paraId="48509ADA" w14:textId="57518379" w:rsidR="00177C18" w:rsidRPr="00177C18" w:rsidRDefault="00177C18" w:rsidP="00177C18">
                          <w:pPr>
                            <w:spacing w:after="0"/>
                            <w:rPr>
                              <w:rFonts w:ascii="Arial" w:eastAsia="Arial" w:hAnsi="Arial" w:cs="Arial"/>
                              <w:noProof/>
                              <w:color w:val="003EC8"/>
                              <w:sz w:val="24"/>
                              <w:szCs w:val="24"/>
                            </w:rPr>
                          </w:pPr>
                          <w:r w:rsidRPr="00177C18">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C9BF51" id="_x0000_t202" coordsize="21600,21600" o:spt="202" path="m,l,21600r21600,l21600,xe">
              <v:stroke joinstyle="miter"/>
              <v:path gradientshapeok="t" o:connecttype="rect"/>
            </v:shapetype>
            <v:shape id="Text Box 2" o:spid="_x0000_s1026" type="#_x0000_t202" alt="OFFICIAL" style="position:absolute;margin-left:0;margin-top:0;width:54.05pt;height:29.1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lsDAIAABUEAAAOAAAAZHJzL2Uyb0RvYy54bWysU01v2zAMvQ/YfxB0X+y0S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" filled="f" stroked="f">
              <v:fill o:detectmouseclick="t"/>
              <v:textbox style="mso-fit-shape-to-text:t" inset="0,0,0,15pt">
                <w:txbxContent>
                  <w:p w14:paraId="48509ADA" w14:textId="57518379" w:rsidR="00177C18" w:rsidRPr="00177C18" w:rsidRDefault="00177C18" w:rsidP="00177C18">
                    <w:pPr>
                      <w:spacing w:after="0"/>
                      <w:rPr>
                        <w:rFonts w:ascii="Arial" w:eastAsia="Arial" w:hAnsi="Arial" w:cs="Arial"/>
                        <w:noProof/>
                        <w:color w:val="003EC8"/>
                        <w:sz w:val="24"/>
                        <w:szCs w:val="24"/>
                      </w:rPr>
                    </w:pPr>
                    <w:r w:rsidRPr="00177C18">
                      <w:rPr>
                        <w:rFonts w:ascii="Arial" w:eastAsia="Arial" w:hAnsi="Arial" w:cs="Arial"/>
                        <w:noProof/>
                        <w:color w:val="003EC8"/>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67D3" w14:textId="227A7E6F" w:rsidR="00177C18" w:rsidRDefault="00177C18">
    <w:pPr>
      <w:pStyle w:val="Footer"/>
    </w:pPr>
    <w:r>
      <w:rPr>
        <w:noProof/>
      </w:rPr>
      <mc:AlternateContent>
        <mc:Choice Requires="wps">
          <w:drawing>
            <wp:anchor distT="0" distB="0" distL="0" distR="0" simplePos="0" relativeHeight="251660288" behindDoc="0" locked="0" layoutInCell="1" allowOverlap="1" wp14:anchorId="50512324" wp14:editId="5CFD6B77">
              <wp:simplePos x="660400" y="10071100"/>
              <wp:positionH relativeFrom="page">
                <wp:align>center</wp:align>
              </wp:positionH>
              <wp:positionV relativeFrom="page">
                <wp:align>bottom</wp:align>
              </wp:positionV>
              <wp:extent cx="686435" cy="369570"/>
              <wp:effectExtent l="0" t="0" r="18415" b="0"/>
              <wp:wrapNone/>
              <wp:docPr id="203617690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9570"/>
                      </a:xfrm>
                      <a:prstGeom prst="rect">
                        <a:avLst/>
                      </a:prstGeom>
                      <a:noFill/>
                      <a:ln>
                        <a:noFill/>
                      </a:ln>
                    </wps:spPr>
                    <wps:txbx>
                      <w:txbxContent>
                        <w:p w14:paraId="0EA8A27A" w14:textId="766DEE38" w:rsidR="00177C18" w:rsidRPr="00177C18" w:rsidRDefault="00177C18" w:rsidP="00177C18">
                          <w:pPr>
                            <w:spacing w:after="0"/>
                            <w:rPr>
                              <w:rFonts w:ascii="Arial" w:eastAsia="Arial" w:hAnsi="Arial" w:cs="Arial"/>
                              <w:noProof/>
                              <w:color w:val="003EC8"/>
                              <w:sz w:val="24"/>
                              <w:szCs w:val="24"/>
                            </w:rPr>
                          </w:pPr>
                          <w:r w:rsidRPr="00177C18">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512324" id="_x0000_t202" coordsize="21600,21600" o:spt="202" path="m,l,21600r21600,l21600,xe">
              <v:stroke joinstyle="miter"/>
              <v:path gradientshapeok="t" o:connecttype="rect"/>
            </v:shapetype>
            <v:shape id="Text Box 3" o:spid="_x0000_s1027" type="#_x0000_t202" alt="OFFICIAL" style="position:absolute;margin-left:0;margin-top:0;width:54.05pt;height:29.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" filled="f" stroked="f">
              <v:fill o:detectmouseclick="t"/>
              <v:textbox style="mso-fit-shape-to-text:t" inset="0,0,0,15pt">
                <w:txbxContent>
                  <w:p w14:paraId="0EA8A27A" w14:textId="766DEE38" w:rsidR="00177C18" w:rsidRPr="00177C18" w:rsidRDefault="00177C18" w:rsidP="00177C18">
                    <w:pPr>
                      <w:spacing w:after="0"/>
                      <w:rPr>
                        <w:rFonts w:ascii="Arial" w:eastAsia="Arial" w:hAnsi="Arial" w:cs="Arial"/>
                        <w:noProof/>
                        <w:color w:val="003EC8"/>
                        <w:sz w:val="24"/>
                        <w:szCs w:val="24"/>
                      </w:rPr>
                    </w:pPr>
                    <w:r w:rsidRPr="00177C18">
                      <w:rPr>
                        <w:rFonts w:ascii="Arial" w:eastAsia="Arial" w:hAnsi="Arial" w:cs="Arial"/>
                        <w:noProof/>
                        <w:color w:val="003EC8"/>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87ADD" w14:textId="57247D2E" w:rsidR="00177C18" w:rsidRDefault="00177C18">
    <w:pPr>
      <w:pStyle w:val="Footer"/>
    </w:pPr>
    <w:r>
      <w:rPr>
        <w:noProof/>
      </w:rPr>
      <mc:AlternateContent>
        <mc:Choice Requires="wps">
          <w:drawing>
            <wp:anchor distT="0" distB="0" distL="0" distR="0" simplePos="0" relativeHeight="251658240" behindDoc="0" locked="0" layoutInCell="1" allowOverlap="1" wp14:anchorId="2DE328E6" wp14:editId="20BD49B4">
              <wp:simplePos x="635" y="635"/>
              <wp:positionH relativeFrom="page">
                <wp:align>center</wp:align>
              </wp:positionH>
              <wp:positionV relativeFrom="page">
                <wp:align>bottom</wp:align>
              </wp:positionV>
              <wp:extent cx="686435" cy="369570"/>
              <wp:effectExtent l="0" t="0" r="18415" b="0"/>
              <wp:wrapNone/>
              <wp:docPr id="99207360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9570"/>
                      </a:xfrm>
                      <a:prstGeom prst="rect">
                        <a:avLst/>
                      </a:prstGeom>
                      <a:noFill/>
                      <a:ln>
                        <a:noFill/>
                      </a:ln>
                    </wps:spPr>
                    <wps:txbx>
                      <w:txbxContent>
                        <w:p w14:paraId="2317CD15" w14:textId="63235852" w:rsidR="00177C18" w:rsidRPr="00177C18" w:rsidRDefault="00177C18" w:rsidP="00177C18">
                          <w:pPr>
                            <w:spacing w:after="0"/>
                            <w:rPr>
                              <w:rFonts w:ascii="Arial" w:eastAsia="Arial" w:hAnsi="Arial" w:cs="Arial"/>
                              <w:noProof/>
                              <w:color w:val="003EC8"/>
                              <w:sz w:val="24"/>
                              <w:szCs w:val="24"/>
                            </w:rPr>
                          </w:pPr>
                          <w:r w:rsidRPr="00177C18">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E328E6" id="_x0000_t202" coordsize="21600,21600" o:spt="202" path="m,l,21600r21600,l21600,xe">
              <v:stroke joinstyle="miter"/>
              <v:path gradientshapeok="t" o:connecttype="rect"/>
            </v:shapetype>
            <v:shape id="Text Box 1" o:spid="_x0000_s1028" type="#_x0000_t202" alt="OFFICIAL" style="position:absolute;margin-left:0;margin-top:0;width:54.05pt;height:29.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" filled="f" stroked="f">
              <v:fill o:detectmouseclick="t"/>
              <v:textbox style="mso-fit-shape-to-text:t" inset="0,0,0,15pt">
                <w:txbxContent>
                  <w:p w14:paraId="2317CD15" w14:textId="63235852" w:rsidR="00177C18" w:rsidRPr="00177C18" w:rsidRDefault="00177C18" w:rsidP="00177C18">
                    <w:pPr>
                      <w:spacing w:after="0"/>
                      <w:rPr>
                        <w:rFonts w:ascii="Arial" w:eastAsia="Arial" w:hAnsi="Arial" w:cs="Arial"/>
                        <w:noProof/>
                        <w:color w:val="003EC8"/>
                        <w:sz w:val="24"/>
                        <w:szCs w:val="24"/>
                      </w:rPr>
                    </w:pPr>
                    <w:r w:rsidRPr="00177C18">
                      <w:rPr>
                        <w:rFonts w:ascii="Arial" w:eastAsia="Arial" w:hAnsi="Arial" w:cs="Arial"/>
                        <w:noProof/>
                        <w:color w:val="003EC8"/>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45884" w14:textId="77777777" w:rsidR="00B01C66" w:rsidRDefault="00B01C66" w:rsidP="00177C18">
      <w:pPr>
        <w:spacing w:after="0" w:line="240" w:lineRule="auto"/>
      </w:pPr>
      <w:r>
        <w:separator/>
      </w:r>
    </w:p>
  </w:footnote>
  <w:footnote w:type="continuationSeparator" w:id="0">
    <w:p w14:paraId="78E9CD2F" w14:textId="77777777" w:rsidR="00B01C66" w:rsidRDefault="00B01C66" w:rsidP="00177C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83409305">
    <w:abstractNumId w:val="8"/>
  </w:num>
  <w:num w:numId="2" w16cid:durableId="392244057">
    <w:abstractNumId w:val="6"/>
  </w:num>
  <w:num w:numId="3" w16cid:durableId="1094981280">
    <w:abstractNumId w:val="5"/>
  </w:num>
  <w:num w:numId="4" w16cid:durableId="1548376523">
    <w:abstractNumId w:val="4"/>
  </w:num>
  <w:num w:numId="5" w16cid:durableId="1049308600">
    <w:abstractNumId w:val="7"/>
  </w:num>
  <w:num w:numId="6" w16cid:durableId="1997879014">
    <w:abstractNumId w:val="3"/>
  </w:num>
  <w:num w:numId="7" w16cid:durableId="1396003115">
    <w:abstractNumId w:val="2"/>
  </w:num>
  <w:num w:numId="8" w16cid:durableId="2121290572">
    <w:abstractNumId w:val="1"/>
  </w:num>
  <w:num w:numId="9" w16cid:durableId="1945764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7C18"/>
    <w:rsid w:val="00270293"/>
    <w:rsid w:val="0029639D"/>
    <w:rsid w:val="00326F90"/>
    <w:rsid w:val="003974A9"/>
    <w:rsid w:val="00805789"/>
    <w:rsid w:val="00937560"/>
    <w:rsid w:val="009713B4"/>
    <w:rsid w:val="00AA1D8D"/>
    <w:rsid w:val="00B01C66"/>
    <w:rsid w:val="00B47730"/>
    <w:rsid w:val="00CB0664"/>
    <w:rsid w:val="00CB1E6E"/>
    <w:rsid w:val="00ED25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DABDDA"/>
  <w14:defaultImageDpi w14:val="300"/>
  <w15:docId w15:val="{5C62FF5B-F079-407F-8B5E-5922D614F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4" w:line="245"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jc w:val="center"/>
    </w:pPr>
    <w:rPr>
      <w:rFonts w:asciiTheme="majorHAnsi" w:eastAsiaTheme="majorEastAsia" w:hAnsiTheme="majorHAnsi" w:cstheme="majorBidi"/>
      <w:b/>
      <w:color w:val="17365D" w:themeColor="text2" w:themeShade="BF"/>
      <w:spacing w:val="5"/>
      <w:kern w:val="28"/>
      <w:sz w:val="2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ef975da0-2206-4296-8b08-8eab8a965a3b}"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988</Words>
  <Characters>5637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Strong Objection - Cheshire East New Local Plan Scoping Consultation</dc:title>
  <dc:subject>Henbury / Whirley / Sandy Lane / Birtles Road, Macclesfield</dc:subject>
  <dc:creator>Charles McCollum</dc:creator>
  <cp:keywords/>
  <dc:description>generated by python-docx</dc:description>
  <cp:lastModifiedBy>GRASE-JURKENAS, Yelena</cp:lastModifiedBy>
  <cp:revision>4</cp:revision>
  <dcterms:created xsi:type="dcterms:W3CDTF">2026-09-25T14:19:00Z</dcterms:created>
  <dcterms:modified xsi:type="dcterms:W3CDTF">2026-09-25T14:20:00Z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3b21d789,2b4a6e09,795d980a</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