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E9188" w14:textId="77777777" w:rsidR="006F6C40" w:rsidRDefault="00000000">
      <w:pPr>
        <w:spacing w:after="80"/>
      </w:pPr>
      <w:r>
        <w:rPr>
          <w:rFonts w:ascii="Calibri" w:eastAsia="Calibri" w:hAnsi="Calibri" w:cs="Calibri"/>
          <w:b/>
          <w:bCs/>
          <w:sz w:val="32"/>
          <w:szCs w:val="32"/>
        </w:rPr>
        <w:t xml:space="preserve">Knutsford: proportionate growth and protection of the Manchester Road / </w:t>
      </w:r>
      <w:proofErr w:type="spellStart"/>
      <w:r>
        <w:rPr>
          <w:rFonts w:ascii="Calibri" w:eastAsia="Calibri" w:hAnsi="Calibri" w:cs="Calibri"/>
          <w:b/>
          <w:bCs/>
          <w:sz w:val="32"/>
          <w:szCs w:val="32"/>
        </w:rPr>
        <w:t>Mereheath</w:t>
      </w:r>
      <w:proofErr w:type="spellEnd"/>
      <w:r>
        <w:rPr>
          <w:rFonts w:ascii="Calibri" w:eastAsia="Calibri" w:hAnsi="Calibri" w:cs="Calibri"/>
          <w:b/>
          <w:bCs/>
          <w:sz w:val="32"/>
          <w:szCs w:val="32"/>
        </w:rPr>
        <w:t xml:space="preserve"> Lane sports corridor</w:t>
      </w:r>
    </w:p>
    <w:p w14:paraId="3DE1D3B7" w14:textId="77777777" w:rsidR="006F6C40" w:rsidRDefault="00000000">
      <w:pPr>
        <w:spacing w:after="80" w:line="300" w:lineRule="auto"/>
      </w:pPr>
      <w:r>
        <w:rPr>
          <w:rFonts w:ascii="Calibri" w:eastAsia="Calibri" w:hAnsi="Calibri" w:cs="Calibri"/>
          <w:i/>
          <w:iCs/>
        </w:rPr>
        <w:t>Representation to the Cheshire East Local Plan Scoping Consultation 2026 (consultation closes 5pm, Tuesday 1 September 2026)</w:t>
      </w:r>
    </w:p>
    <w:p w14:paraId="1B83EDFF" w14:textId="77777777" w:rsidR="006F6C40" w:rsidRDefault="00000000">
      <w:pPr>
        <w:spacing w:after="300" w:line="300" w:lineRule="auto"/>
      </w:pPr>
      <w:r>
        <w:t>Submitted by Alex Chaplin – Final representation, 31 August 2026</w:t>
      </w:r>
    </w:p>
    <w:p w14:paraId="641B3C13" w14:textId="5846D569" w:rsidR="006F6C40" w:rsidRDefault="00AF5E30">
      <w:pPr>
        <w:spacing w:after="300" w:line="300" w:lineRule="auto"/>
      </w:pPr>
      <w:r>
        <w:t>[PERSONAL INFORMATION REDACTED]</w:t>
      </w:r>
    </w:p>
    <w:p w14:paraId="03DCA21D" w14:textId="77777777" w:rsidR="006F6C40" w:rsidRDefault="00000000">
      <w:pPr>
        <w:pStyle w:val="Heading1"/>
        <w:spacing w:before="360" w:after="200"/>
      </w:pPr>
      <w:r>
        <w:rPr>
          <w:rFonts w:ascii="Calibri" w:eastAsia="Calibri" w:hAnsi="Calibri" w:cs="Calibri"/>
          <w:b/>
          <w:bCs/>
          <w:sz w:val="28"/>
          <w:szCs w:val="28"/>
        </w:rPr>
        <w:t>Executive position</w:t>
      </w:r>
    </w:p>
    <w:p w14:paraId="4243D3A7" w14:textId="77777777" w:rsidR="006F6C40" w:rsidRDefault="00000000">
      <w:pPr>
        <w:spacing w:after="200" w:line="300" w:lineRule="auto"/>
      </w:pPr>
      <w:r>
        <w:rPr>
          <w:rFonts w:ascii="Calibri" w:eastAsia="Calibri" w:hAnsi="Calibri" w:cs="Calibri"/>
          <w:sz w:val="22"/>
          <w:szCs w:val="22"/>
        </w:rPr>
        <w:t>I support the preparation of a new Local Plan and recognise the need for Cheshire East to plan positively for housing, employment and infrastructure. My concern is not with meeting genuinely evidenced housing need. It is that the amount and distribution of future growth must be strategy-led, proportionate and justified by evidence, rather than being influenced by the quantity of land that happens to have been promoted around individual settlements through the Call for Sites.</w:t>
      </w:r>
    </w:p>
    <w:p w14:paraId="3F1B9272" w14:textId="77777777" w:rsidR="006F6C40" w:rsidRDefault="00000000">
      <w:pPr>
        <w:spacing w:after="200" w:line="300" w:lineRule="auto"/>
      </w:pPr>
      <w:r>
        <w:rPr>
          <w:rFonts w:ascii="Calibri" w:eastAsia="Calibri" w:hAnsi="Calibri" w:cs="Calibri"/>
          <w:sz w:val="22"/>
          <w:szCs w:val="22"/>
        </w:rPr>
        <w:t>That distinction has become more, not less, important since the Council last consulted on the new Local Plan. Following the revised National Planning Policy Framework and standard method, Cheshire East's annual local housing need has risen sharply – from just under 1,000 dwellings a year to around 2,600 – and the Council's deliverable housing land supply has fallen correspondingly, from over ten years to around 3.8 years. That is precisely the context in which a clear, published methodology for distributing growth between settlements is most needed, and in which existing protected assets are most at risk of being treated as convenient release valves rather than being tested against the evidence.</w:t>
      </w:r>
    </w:p>
    <w:p w14:paraId="1FCE0505" w14:textId="77777777" w:rsidR="006F6C40" w:rsidRDefault="00000000">
      <w:pPr>
        <w:spacing w:after="200" w:line="300" w:lineRule="auto"/>
      </w:pPr>
      <w:r>
        <w:rPr>
          <w:rFonts w:ascii="Calibri" w:eastAsia="Calibri" w:hAnsi="Calibri" w:cs="Calibri"/>
          <w:sz w:val="22"/>
          <w:szCs w:val="22"/>
        </w:rPr>
        <w:t xml:space="preserve">A second and more specific concern relates to the existing sports grounds between </w:t>
      </w:r>
      <w:proofErr w:type="spellStart"/>
      <w:r>
        <w:rPr>
          <w:rFonts w:ascii="Calibri" w:eastAsia="Calibri" w:hAnsi="Calibri" w:cs="Calibri"/>
          <w:sz w:val="22"/>
          <w:szCs w:val="22"/>
        </w:rPr>
        <w:t>Mereheath</w:t>
      </w:r>
      <w:proofErr w:type="spellEnd"/>
      <w:r>
        <w:rPr>
          <w:rFonts w:ascii="Calibri" w:eastAsia="Calibri" w:hAnsi="Calibri" w:cs="Calibri"/>
          <w:sz w:val="22"/>
          <w:szCs w:val="22"/>
        </w:rPr>
        <w:t xml:space="preserve"> Lane and Manchester Road. These are not simply undeveloped parcels capable of being reconsidered afresh. Adopted Site LPS 36 expressly identifies the existing sports grounds as “protected open space” and says that they will be retained in their entirety and enhanced if possible. That policy position is reinforced by the Knutsford Neighbourhood Plan, Cheshire East's open-space and sports policies, the Council's 2024 Playing Pitch &amp; Outdoor Sport Strategy, the Knutsford Sports Vision &amp; Action Plan, and the planning obligations and conditions attached to surrounding strategic development. It is further reinforced, not weakened, by the National Planning Policy Framework published on 17 August 2026, which tightens – rather than relaxes – the test for loss of existing recreational land.</w:t>
      </w:r>
    </w:p>
    <w:p w14:paraId="3DA34FFB" w14:textId="77777777" w:rsidR="006F6C40" w:rsidRDefault="00000000">
      <w:pPr>
        <w:spacing w:after="200" w:line="300" w:lineRule="auto"/>
      </w:pPr>
      <w:r>
        <w:rPr>
          <w:rFonts w:ascii="Calibri" w:eastAsia="Calibri" w:hAnsi="Calibri" w:cs="Calibri"/>
          <w:sz w:val="22"/>
          <w:szCs w:val="22"/>
        </w:rPr>
        <w:t xml:space="preserve">I therefore ask the Council, at this early scoping stage, to establish a clear methodology that (1) determines the sustainable and proportionate distribution of growth before selecting individual sites; (2) gives full weight to cumulative growth already accommodated in Knutsford and to the borough's changed housing-need context; and (3) carries forward the explicit protection of the Manchester Road / </w:t>
      </w:r>
      <w:proofErr w:type="spellStart"/>
      <w:r>
        <w:rPr>
          <w:rFonts w:ascii="Calibri" w:eastAsia="Calibri" w:hAnsi="Calibri" w:cs="Calibri"/>
          <w:sz w:val="22"/>
          <w:szCs w:val="22"/>
        </w:rPr>
        <w:t>Mereheath</w:t>
      </w:r>
      <w:proofErr w:type="spellEnd"/>
      <w:r>
        <w:rPr>
          <w:rFonts w:ascii="Calibri" w:eastAsia="Calibri" w:hAnsi="Calibri" w:cs="Calibri"/>
          <w:sz w:val="22"/>
          <w:szCs w:val="22"/>
        </w:rPr>
        <w:t xml:space="preserve"> Lane sports corridor.</w:t>
      </w:r>
    </w:p>
    <w:p w14:paraId="3D402EBE" w14:textId="77777777" w:rsidR="006F6C40" w:rsidRDefault="00000000">
      <w:pPr>
        <w:pStyle w:val="Heading1"/>
        <w:spacing w:before="360" w:after="200"/>
      </w:pPr>
      <w:r>
        <w:rPr>
          <w:rFonts w:ascii="Calibri" w:eastAsia="Calibri" w:hAnsi="Calibri" w:cs="Calibri"/>
          <w:b/>
          <w:bCs/>
          <w:sz w:val="28"/>
          <w:szCs w:val="28"/>
        </w:rPr>
        <w:t>1. General commentary: proportionate housing growth and the Call for Sites in Knutsford</w:t>
      </w:r>
    </w:p>
    <w:p w14:paraId="624E11B4" w14:textId="77777777" w:rsidR="006F6C40" w:rsidRDefault="00000000">
      <w:pPr>
        <w:spacing w:after="200" w:line="300" w:lineRule="auto"/>
      </w:pPr>
      <w:r>
        <w:rPr>
          <w:rFonts w:ascii="Calibri" w:eastAsia="Calibri" w:hAnsi="Calibri" w:cs="Calibri"/>
          <w:sz w:val="22"/>
          <w:szCs w:val="22"/>
        </w:rPr>
        <w:t xml:space="preserve">1.1 The Council's scoping document correctly explains that the 2024 and 2026 Call for Sites exercises identify land that may be available and that submitted sites will subsequently be assessed for suitability, </w:t>
      </w:r>
      <w:r>
        <w:rPr>
          <w:rFonts w:ascii="Calibri" w:eastAsia="Calibri" w:hAnsi="Calibri" w:cs="Calibri"/>
          <w:sz w:val="22"/>
          <w:szCs w:val="22"/>
        </w:rPr>
        <w:lastRenderedPageBreak/>
        <w:t xml:space="preserve">availability and deliverability. That is the correct starting point. A Call for Sites is an evidence-gathering exercise; it is not an assessment of how much housing a settlement </w:t>
      </w:r>
      <w:proofErr w:type="gramStart"/>
      <w:r>
        <w:rPr>
          <w:rFonts w:ascii="Calibri" w:eastAsia="Calibri" w:hAnsi="Calibri" w:cs="Calibri"/>
          <w:sz w:val="22"/>
          <w:szCs w:val="22"/>
        </w:rPr>
        <w:t>needs</w:t>
      </w:r>
      <w:proofErr w:type="gramEnd"/>
      <w:r>
        <w:rPr>
          <w:rFonts w:ascii="Calibri" w:eastAsia="Calibri" w:hAnsi="Calibri" w:cs="Calibri"/>
          <w:sz w:val="22"/>
          <w:szCs w:val="22"/>
        </w:rPr>
        <w:t xml:space="preserve"> and it does not confer allocation status on promoted land.</w:t>
      </w:r>
    </w:p>
    <w:p w14:paraId="680A08B2" w14:textId="77777777" w:rsidR="006F6C40" w:rsidRDefault="00000000">
      <w:pPr>
        <w:spacing w:after="200" w:line="300" w:lineRule="auto"/>
      </w:pPr>
      <w:r>
        <w:rPr>
          <w:rFonts w:ascii="Calibri" w:eastAsia="Calibri" w:hAnsi="Calibri" w:cs="Calibri"/>
          <w:sz w:val="22"/>
          <w:szCs w:val="22"/>
        </w:rPr>
        <w:t>1.2 The new Local Plan should therefore follow a clear sequence. First, Cheshire East should determine the overall spatial strategy and the proportionate amount of growth that different settlements can sustainably accommodate, taking account of objectively assessed need, settlement function, infrastructure, accessibility, environmental constraints, character and cumulative development. Only after that strategic exercise should the Council ask which individual sites are the most sustainable and deliverable means of meeting the identified requirement.</w:t>
      </w:r>
    </w:p>
    <w:p w14:paraId="63FC7A7D" w14:textId="77777777" w:rsidR="006F6C40" w:rsidRDefault="00000000">
      <w:pPr>
        <w:spacing w:after="200" w:line="300" w:lineRule="auto"/>
      </w:pPr>
      <w:r>
        <w:rPr>
          <w:rFonts w:ascii="Calibri" w:eastAsia="Calibri" w:hAnsi="Calibri" w:cs="Calibri"/>
          <w:sz w:val="22"/>
          <w:szCs w:val="22"/>
        </w:rPr>
        <w:t>1.3 Reversing that sequence would create a serious risk of a supply-led strategy: settlements surrounded by large landholdings and active promoters could receive more development simply because more land has been submitted there. The availability of promoted land is relevant to deliverability, but it is not evidence of local housing need and should not determine the spatial distribution of growth.</w:t>
      </w:r>
    </w:p>
    <w:p w14:paraId="67F407D7" w14:textId="77777777" w:rsidR="006F6C40" w:rsidRDefault="00000000">
      <w:pPr>
        <w:spacing w:after="200" w:line="300" w:lineRule="auto"/>
      </w:pPr>
      <w:r>
        <w:rPr>
          <w:rFonts w:ascii="Calibri" w:eastAsia="Calibri" w:hAnsi="Calibri" w:cs="Calibri"/>
          <w:sz w:val="22"/>
          <w:szCs w:val="22"/>
        </w:rPr>
        <w:t>1.4 This is a material concern in Knutsford. The 2024 Call for Sites schedule alone contains a substantial series of housing or mixed-use submissions expressly identified as Knutsford. A conservative total of just seven readily identifiable Knutsford housing/mixed-use submissions – HE184 (3.99ha), HE193 (6.90ha), HE194 (37.74ha), HE307c (1.30ha), HE307f (16.07ha), HE312 (13.26ha) and HE326b (7.60ha) – amounts to approximately 86.86 hectares. This excludes sites submitted solely for open space/community/sport, excludes surrounding Ashley/Mobberley/</w:t>
      </w:r>
      <w:proofErr w:type="spellStart"/>
      <w:r>
        <w:rPr>
          <w:rFonts w:ascii="Calibri" w:eastAsia="Calibri" w:hAnsi="Calibri" w:cs="Calibri"/>
          <w:sz w:val="22"/>
          <w:szCs w:val="22"/>
        </w:rPr>
        <w:t>Rostherne</w:t>
      </w:r>
      <w:proofErr w:type="spellEnd"/>
      <w:r>
        <w:rPr>
          <w:rFonts w:ascii="Calibri" w:eastAsia="Calibri" w:hAnsi="Calibri" w:cs="Calibri"/>
          <w:sz w:val="22"/>
          <w:szCs w:val="22"/>
        </w:rPr>
        <w:t xml:space="preserve"> submissions, and does not attempt to add the separate 2026 Call for Sites submissions, which had not opened for site nominations at the time of this scoping consultation. The true extent of promoted land capable of affecting Knutsford is therefore </w:t>
      </w:r>
      <w:proofErr w:type="gramStart"/>
      <w:r>
        <w:rPr>
          <w:rFonts w:ascii="Calibri" w:eastAsia="Calibri" w:hAnsi="Calibri" w:cs="Calibri"/>
          <w:sz w:val="22"/>
          <w:szCs w:val="22"/>
        </w:rPr>
        <w:t>greater, and</w:t>
      </w:r>
      <w:proofErr w:type="gramEnd"/>
      <w:r>
        <w:rPr>
          <w:rFonts w:ascii="Calibri" w:eastAsia="Calibri" w:hAnsi="Calibri" w:cs="Calibri"/>
          <w:sz w:val="22"/>
          <w:szCs w:val="22"/>
        </w:rPr>
        <w:t xml:space="preserve"> will grow further once the 2026 exercise runs.</w:t>
      </w:r>
    </w:p>
    <w:p w14:paraId="17DDBBAB" w14:textId="77777777" w:rsidR="006F6C40" w:rsidRDefault="00000000">
      <w:pPr>
        <w:spacing w:after="200" w:line="300" w:lineRule="auto"/>
      </w:pPr>
      <w:r>
        <w:rPr>
          <w:rFonts w:ascii="Calibri" w:eastAsia="Calibri" w:hAnsi="Calibri" w:cs="Calibri"/>
          <w:sz w:val="22"/>
          <w:szCs w:val="22"/>
        </w:rPr>
        <w:t xml:space="preserve">1.5 I do not suggest that 86.86 hectares equates to an allocation or that </w:t>
      </w:r>
      <w:proofErr w:type="gramStart"/>
      <w:r>
        <w:rPr>
          <w:rFonts w:ascii="Calibri" w:eastAsia="Calibri" w:hAnsi="Calibri" w:cs="Calibri"/>
          <w:sz w:val="22"/>
          <w:szCs w:val="22"/>
        </w:rPr>
        <w:t>all of</w:t>
      </w:r>
      <w:proofErr w:type="gramEnd"/>
      <w:r>
        <w:rPr>
          <w:rFonts w:ascii="Calibri" w:eastAsia="Calibri" w:hAnsi="Calibri" w:cs="Calibri"/>
          <w:sz w:val="22"/>
          <w:szCs w:val="22"/>
        </w:rPr>
        <w:t xml:space="preserve"> those sites are suitable. The opposite is the point: the sheer quantity of promoted land demonstrates why site availability must not be allowed to predetermine the growth strategy. The Council should publish, before options are selected, a settlement-by-settlement schedule showing the number of submissions, gross hectares, proposed uses and indicative housing capacity. This would allow the public to see whether the eventual distribution of growth is genuinely strategy-led rather than reflecting where promotion activity has been concentrated.</w:t>
      </w:r>
    </w:p>
    <w:p w14:paraId="30754C90" w14:textId="77777777" w:rsidR="006F6C40" w:rsidRDefault="00000000">
      <w:pPr>
        <w:spacing w:after="200" w:line="300" w:lineRule="auto"/>
      </w:pPr>
      <w:r>
        <w:rPr>
          <w:rFonts w:ascii="Calibri" w:eastAsia="Calibri" w:hAnsi="Calibri" w:cs="Calibri"/>
          <w:sz w:val="22"/>
          <w:szCs w:val="22"/>
        </w:rPr>
        <w:t xml:space="preserve">1.6 There is also an important baseline. Adopted Policy PG 7 identified “in the order of” 950 dwellings for Knutsford between 2010 and 2030. Cheshire East's Knutsford Settlement Report [ED34] subsequently recorded 1,003 dwellings in commitments, completions, take-up and allocations </w:t>
      </w:r>
      <w:proofErr w:type="gramStart"/>
      <w:r>
        <w:rPr>
          <w:rFonts w:ascii="Calibri" w:eastAsia="Calibri" w:hAnsi="Calibri" w:cs="Calibri"/>
          <w:sz w:val="22"/>
          <w:szCs w:val="22"/>
        </w:rPr>
        <w:t>at</w:t>
      </w:r>
      <w:proofErr w:type="gramEnd"/>
      <w:r>
        <w:rPr>
          <w:rFonts w:ascii="Calibri" w:eastAsia="Calibri" w:hAnsi="Calibri" w:cs="Calibri"/>
          <w:sz w:val="22"/>
          <w:szCs w:val="22"/>
        </w:rPr>
        <w:t xml:space="preserve"> 31 March 2020 against that indicative figure. The same report states that overall housing-supply flexibility had increased significantly since adoption of the Local Plan Strategy and that the development requirements of the Borough had largely been met in the LPS.</w:t>
      </w:r>
    </w:p>
    <w:p w14:paraId="1F07080E" w14:textId="77777777" w:rsidR="006F6C40" w:rsidRDefault="00000000">
      <w:pPr>
        <w:spacing w:after="200" w:line="300" w:lineRule="auto"/>
      </w:pPr>
      <w:r>
        <w:rPr>
          <w:rFonts w:ascii="Calibri" w:eastAsia="Calibri" w:hAnsi="Calibri" w:cs="Calibri"/>
          <w:sz w:val="22"/>
          <w:szCs w:val="22"/>
        </w:rPr>
        <w:t xml:space="preserve">1.7 This does not provide an argument that Knutsford should accommodate no growth in the next plan period. A new plan must address a new evidence base and a new housing requirement – and that requirement is now substantially higher across the borough </w:t>
      </w:r>
      <w:proofErr w:type="gramStart"/>
      <w:r>
        <w:rPr>
          <w:rFonts w:ascii="Calibri" w:eastAsia="Calibri" w:hAnsi="Calibri" w:cs="Calibri"/>
          <w:sz w:val="22"/>
          <w:szCs w:val="22"/>
        </w:rPr>
        <w:t>as a whole under</w:t>
      </w:r>
      <w:proofErr w:type="gramEnd"/>
      <w:r>
        <w:rPr>
          <w:rFonts w:ascii="Calibri" w:eastAsia="Calibri" w:hAnsi="Calibri" w:cs="Calibri"/>
          <w:sz w:val="22"/>
          <w:szCs w:val="22"/>
        </w:rPr>
        <w:t xml:space="preserve"> the revised standard method. It does, however, establish that Knutsford enters the new plan from a position of substantial recent and committed growth. That existing contribution, the development still being built out (including the Bluebell Village site, where ground investigation works began in 2025 under the extant 2024 permission), and the </w:t>
      </w:r>
      <w:r>
        <w:rPr>
          <w:rFonts w:ascii="Calibri" w:eastAsia="Calibri" w:hAnsi="Calibri" w:cs="Calibri"/>
          <w:sz w:val="22"/>
          <w:szCs w:val="22"/>
        </w:rPr>
        <w:lastRenderedPageBreak/>
        <w:t>effects of a much higher borough-wide housing requirement must all form part of the baseline when the Council considers the capacity of the town to absorb further expansion.</w:t>
      </w:r>
    </w:p>
    <w:p w14:paraId="6BCCCF75" w14:textId="77777777" w:rsidR="006F6C40" w:rsidRDefault="00000000">
      <w:pPr>
        <w:spacing w:after="200" w:line="300" w:lineRule="auto"/>
      </w:pPr>
      <w:r>
        <w:rPr>
          <w:rFonts w:ascii="Calibri" w:eastAsia="Calibri" w:hAnsi="Calibri" w:cs="Calibri"/>
          <w:sz w:val="22"/>
          <w:szCs w:val="22"/>
        </w:rPr>
        <w:t>1.8 The relevant question should therefore be not simply “is there land available around Knutsford?” but “what additional growth can Knutsford sustainably accommodate, having regard to the scale of growth already planned and delivered, the cumulative demands placed upon its infrastructure and environment, and the borough-wide pressure created by the higher local housing need figure?” A borough facing a materially reduced land-supply buffer has, if anything, a greater need for a transparent, defensible distribution methodology – not less – because the temptation to default to whichever settlement has the most promoted land is correspondingly greater.</w:t>
      </w:r>
    </w:p>
    <w:p w14:paraId="2B3FBB8F" w14:textId="77777777" w:rsidR="006F6C40" w:rsidRDefault="00000000">
      <w:pPr>
        <w:spacing w:after="200" w:line="300" w:lineRule="auto"/>
      </w:pPr>
      <w:r>
        <w:rPr>
          <w:rFonts w:ascii="Calibri" w:eastAsia="Calibri" w:hAnsi="Calibri" w:cs="Calibri"/>
          <w:sz w:val="22"/>
          <w:szCs w:val="22"/>
        </w:rPr>
        <w:t xml:space="preserve">1.9 That cumulative assessment should include highway and junction capacity; congestion and access to the town centre; public transport and active travel; school and health capacity; drainage, sewerage and utilities; landscape and heritage; biodiversity and green infrastructure; town-centre function; recreation and sports capacity; and the physical and visual separation of Knutsford from neighbouring rural settlements. Existing LPS 36 itself recognised that major growth in </w:t>
      </w:r>
      <w:proofErr w:type="gramStart"/>
      <w:r>
        <w:rPr>
          <w:rFonts w:ascii="Calibri" w:eastAsia="Calibri" w:hAnsi="Calibri" w:cs="Calibri"/>
          <w:sz w:val="22"/>
          <w:szCs w:val="22"/>
        </w:rPr>
        <w:t>North West</w:t>
      </w:r>
      <w:proofErr w:type="gramEnd"/>
      <w:r>
        <w:rPr>
          <w:rFonts w:ascii="Calibri" w:eastAsia="Calibri" w:hAnsi="Calibri" w:cs="Calibri"/>
          <w:sz w:val="22"/>
          <w:szCs w:val="22"/>
        </w:rPr>
        <w:t xml:space="preserve"> Knutsford would create additional pressure on community facilities and transport infrastructure and required mitigation and contributions.</w:t>
      </w:r>
    </w:p>
    <w:p w14:paraId="470B20C2" w14:textId="77777777" w:rsidR="006F6C40" w:rsidRDefault="00000000">
      <w:pPr>
        <w:spacing w:after="200" w:line="300" w:lineRule="auto"/>
      </w:pPr>
      <w:r>
        <w:rPr>
          <w:rFonts w:ascii="Calibri" w:eastAsia="Calibri" w:hAnsi="Calibri" w:cs="Calibri"/>
          <w:sz w:val="22"/>
          <w:szCs w:val="22"/>
        </w:rPr>
        <w:t>1.10 The Council should also give appropriate priority to previously developed and under-used land and to locations where growth can be accommodated without unnecessary loss of valued open space, sports provision or countryside. Site selection should transparently compare reasonable alternatives rather than treating proximity to the existing urban edge as sufficient justification for further outward expansion.</w:t>
      </w:r>
    </w:p>
    <w:p w14:paraId="10F49B14" w14:textId="77777777" w:rsidR="006F6C40" w:rsidRDefault="00000000">
      <w:pPr>
        <w:spacing w:after="200" w:line="300" w:lineRule="auto"/>
      </w:pPr>
      <w:r>
        <w:rPr>
          <w:rFonts w:ascii="Calibri" w:eastAsia="Calibri" w:hAnsi="Calibri" w:cs="Calibri"/>
          <w:sz w:val="22"/>
          <w:szCs w:val="22"/>
        </w:rPr>
        <w:t>1.11 At the next evidence and options stage, each shortlisted Knutsford site should be accompanied by sufficient information for meaningful scrutiny: the exact boundary and reference; proposed use and indicative capacity; ownership/availability; land-availability assessment; sustainability appraisal; infrastructure and transport evidence; landscape, heritage and ecological assessment; flood/drainage evidence; relationship with existing development-plan designations; and the Council's reason for selecting it over reasonable alternatives.</w:t>
      </w:r>
    </w:p>
    <w:p w14:paraId="12EE17A0" w14:textId="77777777" w:rsidR="006F6C40" w:rsidRDefault="00000000">
      <w:pPr>
        <w:spacing w:after="200" w:line="300" w:lineRule="auto"/>
      </w:pPr>
      <w:r>
        <w:rPr>
          <w:rFonts w:ascii="Calibri" w:eastAsia="Calibri" w:hAnsi="Calibri" w:cs="Calibri"/>
          <w:sz w:val="22"/>
          <w:szCs w:val="22"/>
        </w:rPr>
        <w:t>1.12 I therefore request an explicit methodological safeguard in the new Local Plan: the amount and broad distribution of development should be established independently of the volume of Call for Sites submissions, and independently of which settlements happen to have the most active site promoters. The Call for Sites should answer the question of possible supply only after the Council has answered the strategic question of proportionate and sustainable need.</w:t>
      </w:r>
    </w:p>
    <w:p w14:paraId="530D01EE" w14:textId="77777777" w:rsidR="006F6C40" w:rsidRDefault="00000000">
      <w:pPr>
        <w:pStyle w:val="Heading1"/>
        <w:spacing w:before="360" w:after="200"/>
      </w:pPr>
      <w:r>
        <w:t>Relevant Call for Sites references: HE326a – Tatton Sports Village, Manchester Road/</w:t>
      </w:r>
      <w:proofErr w:type="spellStart"/>
      <w:r>
        <w:t>Mereheath</w:t>
      </w:r>
      <w:proofErr w:type="spellEnd"/>
      <w:r>
        <w:t xml:space="preserve"> Lane (northern site), 14.43ha, community uses (sport &amp; open space); HE326b – Tatton Sports Village, Manchester Road/</w:t>
      </w:r>
      <w:proofErr w:type="spellStart"/>
      <w:r>
        <w:t>Mereheath</w:t>
      </w:r>
      <w:proofErr w:type="spellEnd"/>
      <w:r>
        <w:t xml:space="preserve"> Lane (southern site), 7.60ha, housing.</w:t>
      </w:r>
    </w:p>
    <w:p w14:paraId="350FF921" w14:textId="77777777" w:rsidR="006F6C40" w:rsidRDefault="00000000">
      <w:pPr>
        <w:pStyle w:val="Heading1"/>
        <w:spacing w:before="360" w:after="200"/>
      </w:pPr>
      <w:r>
        <w:rPr>
          <w:rFonts w:ascii="Calibri" w:eastAsia="Calibri" w:hAnsi="Calibri" w:cs="Calibri"/>
          <w:b/>
          <w:bCs/>
          <w:sz w:val="28"/>
          <w:szCs w:val="28"/>
        </w:rPr>
        <w:t>2. Existing Local Plan and Cheshire East commitments to the sports corridor</w:t>
      </w:r>
    </w:p>
    <w:p w14:paraId="40D52F85" w14:textId="77777777" w:rsidR="006F6C40" w:rsidRDefault="00000000">
      <w:pPr>
        <w:spacing w:after="200" w:line="300" w:lineRule="auto"/>
      </w:pPr>
      <w:r>
        <w:rPr>
          <w:rFonts w:ascii="Calibri" w:eastAsia="Calibri" w:hAnsi="Calibri" w:cs="Calibri"/>
          <w:sz w:val="22"/>
          <w:szCs w:val="22"/>
        </w:rPr>
        <w:lastRenderedPageBreak/>
        <w:t xml:space="preserve">2.1 The sports grounds between </w:t>
      </w:r>
      <w:proofErr w:type="spellStart"/>
      <w:r>
        <w:rPr>
          <w:rFonts w:ascii="Calibri" w:eastAsia="Calibri" w:hAnsi="Calibri" w:cs="Calibri"/>
          <w:sz w:val="22"/>
          <w:szCs w:val="22"/>
        </w:rPr>
        <w:t>Mereheath</w:t>
      </w:r>
      <w:proofErr w:type="spellEnd"/>
      <w:r>
        <w:rPr>
          <w:rFonts w:ascii="Calibri" w:eastAsia="Calibri" w:hAnsi="Calibri" w:cs="Calibri"/>
          <w:sz w:val="22"/>
          <w:szCs w:val="22"/>
        </w:rPr>
        <w:t xml:space="preserve"> Lane and Manchester Road have unusually explicit protection in the adopted development plan. Site LPS 36, </w:t>
      </w:r>
      <w:proofErr w:type="gramStart"/>
      <w:r>
        <w:rPr>
          <w:rFonts w:ascii="Calibri" w:eastAsia="Calibri" w:hAnsi="Calibri" w:cs="Calibri"/>
          <w:sz w:val="22"/>
          <w:szCs w:val="22"/>
        </w:rPr>
        <w:t>North West</w:t>
      </w:r>
      <w:proofErr w:type="gramEnd"/>
      <w:r>
        <w:rPr>
          <w:rFonts w:ascii="Calibri" w:eastAsia="Calibri" w:hAnsi="Calibri" w:cs="Calibri"/>
          <w:sz w:val="22"/>
          <w:szCs w:val="22"/>
        </w:rPr>
        <w:t xml:space="preserve"> Knutsford, states that “the existing sports grounds situated between </w:t>
      </w:r>
      <w:proofErr w:type="spellStart"/>
      <w:r>
        <w:rPr>
          <w:rFonts w:ascii="Calibri" w:eastAsia="Calibri" w:hAnsi="Calibri" w:cs="Calibri"/>
          <w:sz w:val="22"/>
          <w:szCs w:val="22"/>
        </w:rPr>
        <w:t>Mereheath</w:t>
      </w:r>
      <w:proofErr w:type="spellEnd"/>
      <w:r>
        <w:rPr>
          <w:rFonts w:ascii="Calibri" w:eastAsia="Calibri" w:hAnsi="Calibri" w:cs="Calibri"/>
          <w:sz w:val="22"/>
          <w:szCs w:val="22"/>
        </w:rPr>
        <w:t xml:space="preserve"> Lane and Manchester Road to the south of LPS 36(C)” are removed from the Green Belt, are “identified as protected open space within LPS 36” and “will be retained in their entirety as such, and enhanced if possible”.</w:t>
      </w:r>
    </w:p>
    <w:p w14:paraId="4D8CD490" w14:textId="77777777" w:rsidR="006F6C40" w:rsidRDefault="00000000">
      <w:pPr>
        <w:spacing w:after="200" w:line="300" w:lineRule="auto"/>
      </w:pPr>
      <w:r>
        <w:rPr>
          <w:rFonts w:ascii="Calibri" w:eastAsia="Calibri" w:hAnsi="Calibri" w:cs="Calibri"/>
          <w:sz w:val="22"/>
          <w:szCs w:val="22"/>
        </w:rPr>
        <w:t>2.2 The terminology matters. “Protected open space” is not a general description applied by objectors; it is the specific status chosen by Cheshire East in the adopted Local Plan. Nor can removal from the Green Belt reasonably be interpreted as an invitation to residential development. The same adopted policy that removes the sports grounds from the Green Belt expressly identifies their continuing purpose and requires retention and, if possible, enhancement.</w:t>
      </w:r>
    </w:p>
    <w:p w14:paraId="2EC36A96" w14:textId="77777777" w:rsidR="006F6C40" w:rsidRDefault="00000000">
      <w:pPr>
        <w:spacing w:after="200" w:line="300" w:lineRule="auto"/>
      </w:pPr>
      <w:r>
        <w:rPr>
          <w:rFonts w:ascii="Calibri" w:eastAsia="Calibri" w:hAnsi="Calibri" w:cs="Calibri"/>
          <w:sz w:val="22"/>
          <w:szCs w:val="22"/>
        </w:rPr>
        <w:t>2.3 LPS 36 further requires appropriate open-space provision and provision of, or contributions towards, sports and leisure facilities. Its supporting text recognises that this part of Knutsford contains sports and community facilities that make a valuable contribution to health and wellbeing and that new development increases pressure upon such facilities.</w:t>
      </w:r>
    </w:p>
    <w:p w14:paraId="19DCC0E8" w14:textId="77777777" w:rsidR="006F6C40" w:rsidRDefault="00000000">
      <w:pPr>
        <w:spacing w:after="200" w:line="300" w:lineRule="auto"/>
      </w:pPr>
      <w:r>
        <w:rPr>
          <w:rFonts w:ascii="Calibri" w:eastAsia="Calibri" w:hAnsi="Calibri" w:cs="Calibri"/>
          <w:sz w:val="22"/>
          <w:szCs w:val="22"/>
        </w:rPr>
        <w:t>2.4 Policy SC 2, Indoor and Outdoor Sports Facilities, reinforces this approach by protecting existing sports facilities unless they are demonstrated to be surplus or improved alternative provision is created in an appropriate location related to the functional requirements of the use and its existing and future users. Policy SE 6, Green Infrastructure, likewise requires the protection and enhancement of existing open spaces and sport and recreation facilities.</w:t>
      </w:r>
    </w:p>
    <w:p w14:paraId="44E1318A" w14:textId="77777777" w:rsidR="006F6C40" w:rsidRDefault="00000000">
      <w:pPr>
        <w:spacing w:after="200" w:line="300" w:lineRule="auto"/>
      </w:pPr>
      <w:r>
        <w:rPr>
          <w:rFonts w:ascii="Calibri" w:eastAsia="Calibri" w:hAnsi="Calibri" w:cs="Calibri"/>
          <w:sz w:val="22"/>
          <w:szCs w:val="22"/>
        </w:rPr>
        <w:t xml:space="preserve">2.5 The adopted Site Allocations and Development Policies Document adds Policy REC 1, Open Space Protection, and Policy REC 3, which links outdoor playing-pitch provision and contributions to the Playing Pitch Strategy and Sport England methodology. These policies form part of a coherent development-plan approach in which existing open-space and sporting assets are </w:t>
      </w:r>
      <w:proofErr w:type="gramStart"/>
      <w:r>
        <w:rPr>
          <w:rFonts w:ascii="Calibri" w:eastAsia="Calibri" w:hAnsi="Calibri" w:cs="Calibri"/>
          <w:sz w:val="22"/>
          <w:szCs w:val="22"/>
        </w:rPr>
        <w:t>protected</w:t>
      </w:r>
      <w:proofErr w:type="gramEnd"/>
      <w:r>
        <w:rPr>
          <w:rFonts w:ascii="Calibri" w:eastAsia="Calibri" w:hAnsi="Calibri" w:cs="Calibri"/>
          <w:sz w:val="22"/>
          <w:szCs w:val="22"/>
        </w:rPr>
        <w:t xml:space="preserve"> and future development is expected to contribute to their adequacy and quality.</w:t>
      </w:r>
    </w:p>
    <w:p w14:paraId="0E3649E3" w14:textId="77777777" w:rsidR="006F6C40" w:rsidRDefault="00000000">
      <w:pPr>
        <w:spacing w:after="200" w:line="300" w:lineRule="auto"/>
      </w:pPr>
      <w:r>
        <w:rPr>
          <w:rFonts w:ascii="Calibri" w:eastAsia="Calibri" w:hAnsi="Calibri" w:cs="Calibri"/>
          <w:sz w:val="22"/>
          <w:szCs w:val="22"/>
        </w:rPr>
        <w:t xml:space="preserve">2.6 The made Knutsford Neighbourhood Plan provides a further statutory layer. Policy E4 designates LGS-04 Knutsford Sports Club and LGS-05 Knutsford Football Club as Local Green Spaces; nearby Egerton Youth Club is LGS-02. These designations demonstrate the </w:t>
      </w:r>
      <w:proofErr w:type="gramStart"/>
      <w:r>
        <w:rPr>
          <w:rFonts w:ascii="Calibri" w:eastAsia="Calibri" w:hAnsi="Calibri" w:cs="Calibri"/>
          <w:sz w:val="22"/>
          <w:szCs w:val="22"/>
        </w:rPr>
        <w:t>particular community</w:t>
      </w:r>
      <w:proofErr w:type="gramEnd"/>
      <w:r>
        <w:rPr>
          <w:rFonts w:ascii="Calibri" w:eastAsia="Calibri" w:hAnsi="Calibri" w:cs="Calibri"/>
          <w:sz w:val="22"/>
          <w:szCs w:val="22"/>
        </w:rPr>
        <w:t xml:space="preserve"> importance of this connected sporting and green-space corridor. The Knutsford Sports Vision &amp; Action Plan, prepared with Cheshire East and the Town Council, independently confirms that sporting provision in this part of Knutsford is limited, dispersed and in places poor quality elsewhere in the town – reinforcing why this corridor's better-quality facilities should not be treated as expendable.</w:t>
      </w:r>
    </w:p>
    <w:p w14:paraId="53BD3945" w14:textId="77777777" w:rsidR="006F6C40" w:rsidRDefault="00000000">
      <w:pPr>
        <w:spacing w:after="200" w:line="300" w:lineRule="auto"/>
      </w:pPr>
      <w:r>
        <w:rPr>
          <w:rFonts w:ascii="Calibri" w:eastAsia="Calibri" w:hAnsi="Calibri" w:cs="Calibri"/>
          <w:sz w:val="22"/>
          <w:szCs w:val="22"/>
        </w:rPr>
        <w:t>2.7 The most important contemporary evidence remains Cheshire East's Playing Pitch &amp; Outdoor Sport Strategy 2024. Site 68, Knutsford Sports Club, is recorded as having a good-quality cricket square and seven good-quality tennis courts, with the strategic action “Protect”. Site 77, Manchester Road (Knutsford Football Club), is recorded as a good-quality adult pitch. The identified issues are tenure and ancillary facilities; the recommended response is to secure long-term tenure and improve those facilities. Its strategic objectives are “</w:t>
      </w:r>
      <w:proofErr w:type="gramStart"/>
      <w:r>
        <w:rPr>
          <w:rFonts w:ascii="Calibri" w:eastAsia="Calibri" w:hAnsi="Calibri" w:cs="Calibri"/>
          <w:sz w:val="22"/>
          <w:szCs w:val="22"/>
        </w:rPr>
        <w:t>Protect</w:t>
      </w:r>
      <w:proofErr w:type="gramEnd"/>
      <w:r>
        <w:rPr>
          <w:rFonts w:ascii="Calibri" w:eastAsia="Calibri" w:hAnsi="Calibri" w:cs="Calibri"/>
          <w:sz w:val="22"/>
          <w:szCs w:val="22"/>
        </w:rPr>
        <w:t>” and “Enhance”.</w:t>
      </w:r>
    </w:p>
    <w:p w14:paraId="1D4AE190" w14:textId="77777777" w:rsidR="006F6C40" w:rsidRDefault="00000000">
      <w:pPr>
        <w:spacing w:after="200" w:line="300" w:lineRule="auto"/>
      </w:pPr>
      <w:r>
        <w:rPr>
          <w:rFonts w:ascii="Calibri" w:eastAsia="Calibri" w:hAnsi="Calibri" w:cs="Calibri"/>
          <w:sz w:val="22"/>
          <w:szCs w:val="22"/>
        </w:rPr>
        <w:t xml:space="preserve">2.8 This is highly material because the Council's recent evidence does not identify either facility as surplus. It identifies continuing sporting value and recommends protection and investment. More housing also </w:t>
      </w:r>
      <w:r>
        <w:rPr>
          <w:rFonts w:ascii="Calibri" w:eastAsia="Calibri" w:hAnsi="Calibri" w:cs="Calibri"/>
          <w:sz w:val="22"/>
          <w:szCs w:val="22"/>
        </w:rPr>
        <w:lastRenderedPageBreak/>
        <w:t>generates additional sporting demand. It would therefore be difficult to justify responding to housing growth by removing sporting capacity that the Council's own current evidence says should be protected and enhanced.</w:t>
      </w:r>
    </w:p>
    <w:p w14:paraId="5CBC0E74" w14:textId="77777777" w:rsidR="006F6C40" w:rsidRDefault="00000000">
      <w:pPr>
        <w:pStyle w:val="Heading2"/>
        <w:spacing w:before="280" w:after="160"/>
      </w:pPr>
      <w:r>
        <w:rPr>
          <w:rFonts w:ascii="Calibri" w:eastAsia="Calibri" w:hAnsi="Calibri" w:cs="Calibri"/>
          <w:b/>
          <w:bCs/>
          <w:sz w:val="24"/>
          <w:szCs w:val="24"/>
        </w:rPr>
        <w:t>The August 2026 National Planning Policy Framework strengthens, rather than weakens, this protection</w:t>
      </w:r>
    </w:p>
    <w:p w14:paraId="35835A5F" w14:textId="77777777" w:rsidR="006F6C40" w:rsidRDefault="00000000">
      <w:pPr>
        <w:spacing w:after="200" w:line="300" w:lineRule="auto"/>
      </w:pPr>
      <w:r>
        <w:rPr>
          <w:rFonts w:ascii="Calibri" w:eastAsia="Calibri" w:hAnsi="Calibri" w:cs="Calibri"/>
          <w:sz w:val="22"/>
          <w:szCs w:val="22"/>
        </w:rPr>
        <w:t>2.9 A revised NPPF was published on 17 August 2026, shortly before this scoping consultation closes, and it must now form part of the evidence base for the new Local Plan. Two changes are directly relevant to this sports corridor and should be reflected in the plan's approach.</w:t>
      </w:r>
    </w:p>
    <w:p w14:paraId="0B2ECD60" w14:textId="77777777" w:rsidR="006F6C40" w:rsidRDefault="00000000">
      <w:pPr>
        <w:spacing w:after="200" w:line="300" w:lineRule="auto"/>
      </w:pPr>
      <w:r>
        <w:rPr>
          <w:rFonts w:ascii="Calibri" w:eastAsia="Calibri" w:hAnsi="Calibri" w:cs="Calibri"/>
          <w:sz w:val="22"/>
          <w:szCs w:val="22"/>
        </w:rPr>
        <w:t xml:space="preserve">2.10 First, the replacement test for loss of existing open space, sports and recreational land – now Policy HC7, Development affecting existing recreational land and facilities – has been strengthened. Any replacement provision must now be equivalent or better in both quantity and quality, rather than quantity or quality as under the previous framework and as originally proposed in the government's own consultation draft. A future proposal to relocate or reduce the Manchester Road / </w:t>
      </w:r>
      <w:proofErr w:type="spellStart"/>
      <w:r>
        <w:rPr>
          <w:rFonts w:ascii="Calibri" w:eastAsia="Calibri" w:hAnsi="Calibri" w:cs="Calibri"/>
          <w:sz w:val="22"/>
          <w:szCs w:val="22"/>
        </w:rPr>
        <w:t>Mereheath</w:t>
      </w:r>
      <w:proofErr w:type="spellEnd"/>
      <w:r>
        <w:rPr>
          <w:rFonts w:ascii="Calibri" w:eastAsia="Calibri" w:hAnsi="Calibri" w:cs="Calibri"/>
          <w:sz w:val="22"/>
          <w:szCs w:val="22"/>
        </w:rPr>
        <w:t xml:space="preserve"> Lane facilities would therefore need to demonstrate improvement, not merely substitution, on both measures simultaneously – a materially higher bar than applied when LPS 36 and the surrounding permissions were originally determined.</w:t>
      </w:r>
    </w:p>
    <w:p w14:paraId="1D898DB4" w14:textId="77777777" w:rsidR="006F6C40" w:rsidRDefault="00000000">
      <w:pPr>
        <w:spacing w:after="200" w:line="300" w:lineRule="auto"/>
      </w:pPr>
      <w:r>
        <w:rPr>
          <w:rFonts w:ascii="Calibri" w:eastAsia="Calibri" w:hAnsi="Calibri" w:cs="Calibri"/>
          <w:sz w:val="22"/>
          <w:szCs w:val="22"/>
        </w:rPr>
        <w:t>2.11 Second, the same reforms have narrowed Sport England's statutory consultee role in decisions affecting playing fields and recreational land. That change increases, rather than decreases, the importance of the Council giving full weight to its own locally-produced evidence – the 2024 Playing Pitch &amp; Outdoor Sport Strategy and the Knutsford Sports Vision &amp; Action Plan – and to the statutory Local Green Space designations in the Knutsford Neighbourhood Plan, since an external national check on sporting-land decisions is now less readily available. The Local Plan should not treat the reduced role of Sport England as licence to weaken local protection; if anything, the opposite follows.</w:t>
      </w:r>
    </w:p>
    <w:p w14:paraId="410E0436" w14:textId="77777777" w:rsidR="006F6C40" w:rsidRDefault="00000000">
      <w:pPr>
        <w:spacing w:after="200" w:line="300" w:lineRule="auto"/>
      </w:pPr>
      <w:r>
        <w:rPr>
          <w:rFonts w:ascii="Calibri" w:eastAsia="Calibri" w:hAnsi="Calibri" w:cs="Calibri"/>
          <w:sz w:val="22"/>
          <w:szCs w:val="22"/>
        </w:rPr>
        <w:t>2.12 The new framework has also introduced a category of Green Belt “safeguarded land”, reserved for future development rather than protected from it. The sports grounds themselves were already removed from the Green Belt by LPS 36 and are not, and should not become, safeguarded land; their status is protected open space, which is a materially different and stronger designation. The Council should confirm explicitly, at the options stage, that this corridor will not be redesignated or treated as a reserve housing site through the safeguarded-land route.</w:t>
      </w:r>
    </w:p>
    <w:p w14:paraId="51C472F1" w14:textId="77777777" w:rsidR="006F6C40" w:rsidRDefault="00000000">
      <w:pPr>
        <w:spacing w:after="200" w:line="300" w:lineRule="auto"/>
      </w:pPr>
      <w:r>
        <w:rPr>
          <w:rFonts w:ascii="Calibri" w:eastAsia="Calibri" w:hAnsi="Calibri" w:cs="Calibri"/>
          <w:sz w:val="22"/>
          <w:szCs w:val="22"/>
        </w:rPr>
        <w:t>2.13 The 2024 Call for Sites schedule identifies HE326a, Tatton Sports Village, Manchester Road/</w:t>
      </w:r>
      <w:proofErr w:type="spellStart"/>
      <w:r>
        <w:rPr>
          <w:rFonts w:ascii="Calibri" w:eastAsia="Calibri" w:hAnsi="Calibri" w:cs="Calibri"/>
          <w:sz w:val="22"/>
          <w:szCs w:val="22"/>
        </w:rPr>
        <w:t>Mereheath</w:t>
      </w:r>
      <w:proofErr w:type="spellEnd"/>
      <w:r>
        <w:rPr>
          <w:rFonts w:ascii="Calibri" w:eastAsia="Calibri" w:hAnsi="Calibri" w:cs="Calibri"/>
          <w:sz w:val="22"/>
          <w:szCs w:val="22"/>
        </w:rPr>
        <w:t xml:space="preserve"> Lane (northern site), 14.43ha, promoted for community uses (sport and open space), and HE326b, Tatton Sports Village, Manchester Road/</w:t>
      </w:r>
      <w:proofErr w:type="spellStart"/>
      <w:r>
        <w:rPr>
          <w:rFonts w:ascii="Calibri" w:eastAsia="Calibri" w:hAnsi="Calibri" w:cs="Calibri"/>
          <w:sz w:val="22"/>
          <w:szCs w:val="22"/>
        </w:rPr>
        <w:t>Mereheath</w:t>
      </w:r>
      <w:proofErr w:type="spellEnd"/>
      <w:r>
        <w:rPr>
          <w:rFonts w:ascii="Calibri" w:eastAsia="Calibri" w:hAnsi="Calibri" w:cs="Calibri"/>
          <w:sz w:val="22"/>
          <w:szCs w:val="22"/>
        </w:rPr>
        <w:t xml:space="preserve"> Lane (southern site), 7.60ha, promoted for housing. These linked submissions should be assessed as a whole and against the existing policy history, rather than treating HE326b as an unconstrained housing opportunity.</w:t>
      </w:r>
    </w:p>
    <w:p w14:paraId="787A73E5" w14:textId="77777777" w:rsidR="006F6C40" w:rsidRDefault="00000000">
      <w:pPr>
        <w:spacing w:after="200" w:line="300" w:lineRule="auto"/>
      </w:pPr>
      <w:r>
        <w:rPr>
          <w:rFonts w:ascii="Calibri" w:eastAsia="Calibri" w:hAnsi="Calibri" w:cs="Calibri"/>
          <w:sz w:val="22"/>
          <w:szCs w:val="22"/>
        </w:rPr>
        <w:t xml:space="preserve">2.14 A proposal for a new or relocated sports village does not, by itself, satisfy the tests for loss of the existing facilities – and, following the August 2026 NPPF, it now needs to satisfy a stricter test than before. Any replacement proposition would need to demonstrate at least equivalent or better quantity and quality (both, not either), accessibility to existing and future users, secure long-term tenure, full funding, deliverability, appropriate phasing and continuity of provision. The Council should also test the reasonable </w:t>
      </w:r>
      <w:r>
        <w:rPr>
          <w:rFonts w:ascii="Calibri" w:eastAsia="Calibri" w:hAnsi="Calibri" w:cs="Calibri"/>
          <w:sz w:val="22"/>
          <w:szCs w:val="22"/>
        </w:rPr>
        <w:lastRenderedPageBreak/>
        <w:t>alternative of retaining and investing in the existing facilities, which is the course expressly contemplated by LPS 36 and the 2024 sports evidence.</w:t>
      </w:r>
    </w:p>
    <w:p w14:paraId="0CBD0B0F" w14:textId="77777777" w:rsidR="006F6C40" w:rsidRDefault="00000000">
      <w:pPr>
        <w:pStyle w:val="Heading1"/>
        <w:spacing w:before="360" w:after="200"/>
      </w:pPr>
      <w:r>
        <w:rPr>
          <w:rFonts w:ascii="Calibri" w:eastAsia="Calibri" w:hAnsi="Calibri" w:cs="Calibri"/>
          <w:b/>
          <w:bCs/>
          <w:sz w:val="28"/>
          <w:szCs w:val="28"/>
        </w:rPr>
        <w:t>3. Existing development commitments: Manchester Road West and Tatton Bluebell Village</w:t>
      </w:r>
    </w:p>
    <w:p w14:paraId="4B5E0375" w14:textId="77777777" w:rsidR="006F6C40" w:rsidRDefault="00000000">
      <w:pPr>
        <w:spacing w:after="200" w:line="300" w:lineRule="auto"/>
      </w:pPr>
      <w:r>
        <w:rPr>
          <w:rFonts w:ascii="Calibri" w:eastAsia="Calibri" w:hAnsi="Calibri" w:cs="Calibri"/>
          <w:sz w:val="22"/>
          <w:szCs w:val="22"/>
        </w:rPr>
        <w:t xml:space="preserve">3.1 The planning history of surrounding strategic development makes the case for retention stronger. The </w:t>
      </w:r>
      <w:proofErr w:type="gramStart"/>
      <w:r>
        <w:rPr>
          <w:rFonts w:ascii="Calibri" w:eastAsia="Calibri" w:hAnsi="Calibri" w:cs="Calibri"/>
          <w:sz w:val="22"/>
          <w:szCs w:val="22"/>
        </w:rPr>
        <w:t>North West</w:t>
      </w:r>
      <w:proofErr w:type="gramEnd"/>
      <w:r>
        <w:rPr>
          <w:rFonts w:ascii="Calibri" w:eastAsia="Calibri" w:hAnsi="Calibri" w:cs="Calibri"/>
          <w:sz w:val="22"/>
          <w:szCs w:val="22"/>
        </w:rPr>
        <w:t xml:space="preserve"> Knutsford strategy did not envisage housing growth independently of investment in the sporting and community infrastructure needed to serve the additional population.</w:t>
      </w:r>
    </w:p>
    <w:p w14:paraId="70B78481" w14:textId="77777777" w:rsidR="006F6C40" w:rsidRDefault="00000000">
      <w:pPr>
        <w:spacing w:after="200" w:line="300" w:lineRule="auto"/>
      </w:pPr>
      <w:r>
        <w:rPr>
          <w:rFonts w:ascii="Calibri" w:eastAsia="Calibri" w:hAnsi="Calibri" w:cs="Calibri"/>
          <w:sz w:val="22"/>
          <w:szCs w:val="22"/>
        </w:rPr>
        <w:t>3.2 Manchester Road West, application 19/0032M, was approved subject to a Section 106 package including a Recreation Open Space contribution. The identified local purpose of that contribution includes improvement and enhancement of Egerton Youth Club sports pitches and Knutsford Sports Club tennis and cricket facilities. This is a direct planning link between the strategic development and investment in the existing local sporting infrastructure.</w:t>
      </w:r>
    </w:p>
    <w:p w14:paraId="4B63435F" w14:textId="77777777" w:rsidR="006F6C40" w:rsidRDefault="00000000">
      <w:pPr>
        <w:spacing w:after="200" w:line="300" w:lineRule="auto"/>
      </w:pPr>
      <w:r>
        <w:rPr>
          <w:rFonts w:ascii="Calibri" w:eastAsia="Calibri" w:hAnsi="Calibri" w:cs="Calibri"/>
          <w:sz w:val="22"/>
          <w:szCs w:val="22"/>
        </w:rPr>
        <w:t>3.3 Tatton Bluebell Village, application 18/3672M, reinforces the same principle. The permission includes open-space and sports obligations and requires a Sports Needs Assessment to establish the outdoor-sport contribution and where it should be spent. The additional population created by the development was therefore expressly recognised as generating a need for sporting provision and mitigation. Ground investigation works began on the Bluebell Village site in 2025 and the development is now proceeding under that extant permission and its associated obligations – underlining that the sporting contributions tied to this development are a live, current commitment rather than a historic footnote.</w:t>
      </w:r>
    </w:p>
    <w:p w14:paraId="3A1C6CC1" w14:textId="77777777" w:rsidR="006F6C40" w:rsidRDefault="00000000">
      <w:pPr>
        <w:spacing w:after="200" w:line="300" w:lineRule="auto"/>
      </w:pPr>
      <w:r>
        <w:rPr>
          <w:rFonts w:ascii="Calibri" w:eastAsia="Calibri" w:hAnsi="Calibri" w:cs="Calibri"/>
          <w:sz w:val="22"/>
          <w:szCs w:val="22"/>
        </w:rPr>
        <w:t>3.4 There is an additional point from the original Bluebell approval that should not be overlooked. Condition 34 required the section of the Bluebell site lying within Protected Open Space to be used as a playing pitch or to remain in agricultural/horticultural use. The permission therefore did not merely recognise open space in general; it imposed a specific restriction to preserve the protected-open-space function of part of the strategic site. Condition 33 also required details of a secure boundary with the adjoining football clubs. This is further evidence that the approved development was designed around the continued existence of adjoining sporting uses rather than their future removal.</w:t>
      </w:r>
    </w:p>
    <w:p w14:paraId="6F84E866" w14:textId="77777777" w:rsidR="006F6C40" w:rsidRDefault="00000000">
      <w:pPr>
        <w:spacing w:after="200" w:line="300" w:lineRule="auto"/>
      </w:pPr>
      <w:r>
        <w:rPr>
          <w:rFonts w:ascii="Calibri" w:eastAsia="Calibri" w:hAnsi="Calibri" w:cs="Calibri"/>
          <w:sz w:val="22"/>
          <w:szCs w:val="22"/>
        </w:rPr>
        <w:t>3.5 The policy and development history therefore forms a consistent sequence: LPS 36 expressly protected the sports grounds and required retention/enhancement; strategic housing was then allocated around them; permissions recognised the resulting demand for sport and secured or required contributions and safeguards; Cheshire East's 2024 Playing Pitch &amp; Outdoor Sport Strategy again directs that Knutsford Sports Club be protected and Manchester Road Football Club be protected and enhanced; and the August 2026 NPPF has since raised, not lowered, the bar for disturbing that settled position.</w:t>
      </w:r>
    </w:p>
    <w:p w14:paraId="58D48B69" w14:textId="77777777" w:rsidR="006F6C40" w:rsidRDefault="00000000">
      <w:pPr>
        <w:spacing w:after="200" w:line="300" w:lineRule="auto"/>
      </w:pPr>
      <w:r>
        <w:rPr>
          <w:rFonts w:ascii="Calibri" w:eastAsia="Calibri" w:hAnsi="Calibri" w:cs="Calibri"/>
          <w:sz w:val="22"/>
          <w:szCs w:val="22"/>
        </w:rPr>
        <w:t>3.6 Against that history, releasing the existing sporting land for further housing risks a circular and internally inconsistent planning outcome: housing creates additional sports demand; contributions are secured to mitigate that demand and enhance existing facilities; the facilities are then proposed for loss to further housing; and that additional housing creates still more sporting demand – at a time when the borough's overall housing pressure, and therefore this risk, is significantly higher than when LPS 36 was adopted.</w:t>
      </w:r>
    </w:p>
    <w:p w14:paraId="6CF52CCF" w14:textId="77777777" w:rsidR="006F6C40" w:rsidRDefault="00000000">
      <w:pPr>
        <w:spacing w:after="200" w:line="300" w:lineRule="auto"/>
      </w:pPr>
      <w:r>
        <w:rPr>
          <w:rFonts w:ascii="Calibri" w:eastAsia="Calibri" w:hAnsi="Calibri" w:cs="Calibri"/>
          <w:sz w:val="22"/>
          <w:szCs w:val="22"/>
        </w:rPr>
        <w:lastRenderedPageBreak/>
        <w:t>3.7 Before any future allocation involving HE326b or the loss/relocation of the existing sports grounds is considered, Cheshire East should publish and assess the relevant executed Section 106 obligations, the Bluebell Sports Needs Assessment and relevant Sports Vision / Action Plan material. It should identify what contributions have been paid, remain payable or are committed; their intended beneficiaries; and how any proposed relocation could lawfully and logically be reconciled with those obligations, tested against the strengthened Policy HC7 replacement test.</w:t>
      </w:r>
    </w:p>
    <w:p w14:paraId="14C4F019" w14:textId="77777777" w:rsidR="006F6C40" w:rsidRDefault="00000000">
      <w:pPr>
        <w:spacing w:after="200" w:line="300" w:lineRule="auto"/>
      </w:pPr>
      <w:r>
        <w:rPr>
          <w:rFonts w:ascii="Calibri" w:eastAsia="Calibri" w:hAnsi="Calibri" w:cs="Calibri"/>
          <w:sz w:val="22"/>
          <w:szCs w:val="22"/>
        </w:rPr>
        <w:t>3.8 Contributions secured to mitigate development already approved should not simply be treated as enabling finance for the loss of the sporting infrastructure they were intended to support. The preferred policy direction should be to carry forward protected-open-space status and use the investment generated by surrounding development to implement what the adopted plan and current evidence already require: retention, security, improvement and enhancement.</w:t>
      </w:r>
    </w:p>
    <w:p w14:paraId="623B9BF6" w14:textId="77777777" w:rsidR="006F6C40" w:rsidRDefault="00000000">
      <w:pPr>
        <w:pStyle w:val="Heading1"/>
        <w:spacing w:before="360" w:after="200"/>
      </w:pPr>
      <w:r>
        <w:rPr>
          <w:rFonts w:ascii="Calibri" w:eastAsia="Calibri" w:hAnsi="Calibri" w:cs="Calibri"/>
          <w:b/>
          <w:bCs/>
          <w:sz w:val="28"/>
          <w:szCs w:val="28"/>
        </w:rPr>
        <w:t>Conclusion and requested actions</w:t>
      </w:r>
    </w:p>
    <w:p w14:paraId="23DB2501" w14:textId="77777777" w:rsidR="006F6C40" w:rsidRDefault="00000000">
      <w:pPr>
        <w:spacing w:after="200" w:line="300" w:lineRule="auto"/>
      </w:pPr>
      <w:r>
        <w:rPr>
          <w:rFonts w:ascii="Calibri" w:eastAsia="Calibri" w:hAnsi="Calibri" w:cs="Calibri"/>
          <w:sz w:val="22"/>
          <w:szCs w:val="22"/>
        </w:rPr>
        <w:t>The central point is straightforward. Knutsford's sports grounds were expressly removed from the Green Belt under the existing Local Plan not to make them development land, but with the specific designation of “protected open space” and an express requirement that they be retained in their entirety and enhanced if possible. That policy intent has since been reinforced by the Knutsford Neighbourhood Plan, Cheshire East's open-space and sports policies, conditions and developer-contribution requirements attached to surrounding strategic development, the Council's own 2024 sports evidence, and – most recently – the stricter replacement test in the National Planning Policy Framework published on 17 August 2026. The new Local Plan should build upon that coherent policy history rather than reverse it without compelling, transparent and independently tested evidence. I request that the Council:</w:t>
      </w:r>
    </w:p>
    <w:p w14:paraId="29275BC6" w14:textId="77777777" w:rsidR="006F6C40" w:rsidRDefault="00000000">
      <w:pPr>
        <w:pStyle w:val="ListParagraph"/>
        <w:numPr>
          <w:ilvl w:val="0"/>
          <w:numId w:val="2"/>
        </w:numPr>
        <w:spacing w:after="160" w:line="300" w:lineRule="auto"/>
      </w:pPr>
      <w:r>
        <w:rPr>
          <w:rFonts w:ascii="Calibri" w:eastAsia="Calibri" w:hAnsi="Calibri" w:cs="Calibri"/>
          <w:sz w:val="22"/>
          <w:szCs w:val="22"/>
        </w:rPr>
        <w:t>Establish the amount and broad spatial distribution of housing through objective evidence before individual Call for Sites submissions influence allocation decisions.</w:t>
      </w:r>
    </w:p>
    <w:p w14:paraId="65F88E8C" w14:textId="77777777" w:rsidR="006F6C40" w:rsidRDefault="00000000">
      <w:pPr>
        <w:pStyle w:val="ListParagraph"/>
        <w:numPr>
          <w:ilvl w:val="0"/>
          <w:numId w:val="2"/>
        </w:numPr>
        <w:spacing w:after="160" w:line="300" w:lineRule="auto"/>
      </w:pPr>
      <w:r>
        <w:rPr>
          <w:rFonts w:ascii="Calibri" w:eastAsia="Calibri" w:hAnsi="Calibri" w:cs="Calibri"/>
          <w:sz w:val="22"/>
          <w:szCs w:val="22"/>
        </w:rPr>
        <w:t>Publish a settlement-by-settlement comparison of Call for Sites submissions, including number of sites, gross hectares, proposed uses and indicative capacity, so that the eventual distribution can be demonstrated to be strategy-led.</w:t>
      </w:r>
    </w:p>
    <w:p w14:paraId="0B8185FA" w14:textId="77777777" w:rsidR="006F6C40" w:rsidRDefault="00000000">
      <w:pPr>
        <w:pStyle w:val="ListParagraph"/>
        <w:numPr>
          <w:ilvl w:val="0"/>
          <w:numId w:val="2"/>
        </w:numPr>
        <w:spacing w:after="160" w:line="300" w:lineRule="auto"/>
      </w:pPr>
      <w:r>
        <w:rPr>
          <w:rFonts w:ascii="Calibri" w:eastAsia="Calibri" w:hAnsi="Calibri" w:cs="Calibri"/>
          <w:sz w:val="22"/>
          <w:szCs w:val="22"/>
        </w:rPr>
        <w:t>Give full weight to the substantial growth already accommodated and committed in Knutsford, and to the borough's sharply increased housing-need figure and reduced land-supply buffer, and undertake a cumulative infrastructure, transport, environmental and community-capacity assessment before identifying further strategic growth.</w:t>
      </w:r>
    </w:p>
    <w:p w14:paraId="02FD77A1" w14:textId="77777777" w:rsidR="006F6C40" w:rsidRDefault="00000000">
      <w:pPr>
        <w:pStyle w:val="ListParagraph"/>
        <w:numPr>
          <w:ilvl w:val="0"/>
          <w:numId w:val="2"/>
        </w:numPr>
        <w:spacing w:after="160" w:line="300" w:lineRule="auto"/>
      </w:pPr>
      <w:r>
        <w:rPr>
          <w:rFonts w:ascii="Calibri" w:eastAsia="Calibri" w:hAnsi="Calibri" w:cs="Calibri"/>
          <w:sz w:val="22"/>
          <w:szCs w:val="22"/>
        </w:rPr>
        <w:t xml:space="preserve">Carry forward the explicit ‘protected open space’ status of the existing sports grounds between </w:t>
      </w:r>
      <w:proofErr w:type="spellStart"/>
      <w:r>
        <w:rPr>
          <w:rFonts w:ascii="Calibri" w:eastAsia="Calibri" w:hAnsi="Calibri" w:cs="Calibri"/>
          <w:sz w:val="22"/>
          <w:szCs w:val="22"/>
        </w:rPr>
        <w:t>Mereheath</w:t>
      </w:r>
      <w:proofErr w:type="spellEnd"/>
      <w:r>
        <w:rPr>
          <w:rFonts w:ascii="Calibri" w:eastAsia="Calibri" w:hAnsi="Calibri" w:cs="Calibri"/>
          <w:sz w:val="22"/>
          <w:szCs w:val="22"/>
        </w:rPr>
        <w:t xml:space="preserve"> Lane and Manchester Road, confirm they will not be redesignated as Green Belt ‘safeguarded land’, and recognise the continuing Local Green Space status of Knutsford Sports Club (LGS-04) and Knutsford Football Club (LGS-05).</w:t>
      </w:r>
    </w:p>
    <w:p w14:paraId="50E30A9E" w14:textId="77777777" w:rsidR="006F6C40" w:rsidRDefault="00000000">
      <w:pPr>
        <w:pStyle w:val="ListParagraph"/>
        <w:numPr>
          <w:ilvl w:val="0"/>
          <w:numId w:val="2"/>
        </w:numPr>
        <w:spacing w:after="160" w:line="300" w:lineRule="auto"/>
      </w:pPr>
      <w:r>
        <w:rPr>
          <w:rFonts w:ascii="Calibri" w:eastAsia="Calibri" w:hAnsi="Calibri" w:cs="Calibri"/>
          <w:sz w:val="22"/>
          <w:szCs w:val="22"/>
        </w:rPr>
        <w:t>Treat the 2024 Playing Pitch &amp; Outdoor Sport Strategy and the Knutsford Sports Vision &amp; Action Plan as central parts of the evidence base, including the ‘Protect’ recommendation for Knutsford Sports Club and ‘Protect / Enhance’ recommendation for Manchester Road (Knutsford Football Club).</w:t>
      </w:r>
    </w:p>
    <w:p w14:paraId="311B32E8" w14:textId="77777777" w:rsidR="006F6C40" w:rsidRDefault="00000000">
      <w:pPr>
        <w:pStyle w:val="ListParagraph"/>
        <w:numPr>
          <w:ilvl w:val="0"/>
          <w:numId w:val="2"/>
        </w:numPr>
        <w:spacing w:after="160" w:line="300" w:lineRule="auto"/>
      </w:pPr>
      <w:r>
        <w:rPr>
          <w:rFonts w:ascii="Calibri" w:eastAsia="Calibri" w:hAnsi="Calibri" w:cs="Calibri"/>
          <w:sz w:val="22"/>
          <w:szCs w:val="22"/>
        </w:rPr>
        <w:lastRenderedPageBreak/>
        <w:t>Assess HE326a and HE326b together, apply the strengthened Policy HC7 test (equivalent or better provision in both quantity and quality) to any proposed replacement sports village, and do not treat such a proposal as automatic justification for loss of existing protected facilities.</w:t>
      </w:r>
    </w:p>
    <w:p w14:paraId="7B7CC126" w14:textId="77777777" w:rsidR="006F6C40" w:rsidRDefault="00000000">
      <w:pPr>
        <w:pStyle w:val="ListParagraph"/>
        <w:numPr>
          <w:ilvl w:val="0"/>
          <w:numId w:val="2"/>
        </w:numPr>
        <w:spacing w:after="160" w:line="300" w:lineRule="auto"/>
      </w:pPr>
      <w:r>
        <w:rPr>
          <w:rFonts w:ascii="Calibri" w:eastAsia="Calibri" w:hAnsi="Calibri" w:cs="Calibri"/>
          <w:sz w:val="22"/>
          <w:szCs w:val="22"/>
        </w:rPr>
        <w:t>Publish and take account of the relevant Section 106 obligations, Bluebell Sports Needs Assessment and Sports Vision / Action Plan, including the purpose and status of sports contributions associated with 19/0032M and 18/3672M.</w:t>
      </w:r>
    </w:p>
    <w:p w14:paraId="7C0ACAF5" w14:textId="77777777" w:rsidR="006F6C40" w:rsidRDefault="00000000">
      <w:pPr>
        <w:pStyle w:val="ListParagraph"/>
        <w:numPr>
          <w:ilvl w:val="0"/>
          <w:numId w:val="2"/>
        </w:numPr>
        <w:spacing w:after="160" w:line="300" w:lineRule="auto"/>
      </w:pPr>
      <w:r>
        <w:rPr>
          <w:rFonts w:ascii="Calibri" w:eastAsia="Calibri" w:hAnsi="Calibri" w:cs="Calibri"/>
          <w:sz w:val="22"/>
          <w:szCs w:val="22"/>
        </w:rPr>
        <w:t>Require any future site-selection decision affecting the sports corridor to demonstrate transparently how it complies with LPS 36, SC 2, SE 6, REC 1/REC 3, the Knutsford Neighbourhood Plan, the Playing Pitch Strategy and Policy HC7 of the August 2026 NPPF.</w:t>
      </w:r>
    </w:p>
    <w:p w14:paraId="45191875" w14:textId="77777777" w:rsidR="006F6C40" w:rsidRDefault="00000000">
      <w:pPr>
        <w:pStyle w:val="ListParagraph"/>
        <w:numPr>
          <w:ilvl w:val="0"/>
          <w:numId w:val="2"/>
        </w:numPr>
        <w:spacing w:after="160" w:line="300" w:lineRule="auto"/>
      </w:pPr>
      <w:r>
        <w:rPr>
          <w:rFonts w:ascii="Calibri" w:eastAsia="Calibri" w:hAnsi="Calibri" w:cs="Calibri"/>
          <w:sz w:val="22"/>
          <w:szCs w:val="22"/>
        </w:rPr>
        <w:t>Use developer contributions generated by the substantial housing growth already approved around Manchester Road to strengthen and enhance Knutsford's sporting infrastructure rather than create a pathway to its loss.</w:t>
      </w:r>
    </w:p>
    <w:p w14:paraId="6ECC194B" w14:textId="77777777" w:rsidR="006F6C40" w:rsidRDefault="00000000">
      <w:pPr>
        <w:pStyle w:val="ListParagraph"/>
        <w:numPr>
          <w:ilvl w:val="0"/>
          <w:numId w:val="2"/>
        </w:numPr>
        <w:spacing w:after="160" w:line="300" w:lineRule="auto"/>
      </w:pPr>
      <w:r>
        <w:rPr>
          <w:rFonts w:ascii="Calibri" w:eastAsia="Calibri" w:hAnsi="Calibri" w:cs="Calibri"/>
          <w:sz w:val="22"/>
          <w:szCs w:val="22"/>
        </w:rPr>
        <w:t>Confirm receipt of this representation and ensure it is carried forward and considered at the next (options/site-assessment) stage of plan preparation, given the compressed timetable created by the higher borough-wide housing requirement.</w:t>
      </w:r>
    </w:p>
    <w:p w14:paraId="26F33574" w14:textId="77777777" w:rsidR="006F6C40" w:rsidRDefault="00000000">
      <w:pPr>
        <w:pStyle w:val="Heading1"/>
        <w:spacing w:before="360" w:after="200"/>
      </w:pPr>
      <w:r>
        <w:rPr>
          <w:rFonts w:ascii="Calibri" w:eastAsia="Calibri" w:hAnsi="Calibri" w:cs="Calibri"/>
          <w:b/>
          <w:bCs/>
          <w:sz w:val="28"/>
          <w:szCs w:val="28"/>
        </w:rPr>
        <w:t>Key documents and references</w:t>
      </w:r>
    </w:p>
    <w:p w14:paraId="5B56697F" w14:textId="77777777" w:rsidR="006F6C40" w:rsidRDefault="00000000">
      <w:pPr>
        <w:pStyle w:val="ListParagraph"/>
        <w:numPr>
          <w:ilvl w:val="0"/>
          <w:numId w:val="3"/>
        </w:numPr>
        <w:spacing w:after="120" w:line="300" w:lineRule="auto"/>
      </w:pPr>
      <w:r>
        <w:rPr>
          <w:rFonts w:ascii="Calibri" w:eastAsia="Calibri" w:hAnsi="Calibri" w:cs="Calibri"/>
          <w:sz w:val="22"/>
          <w:szCs w:val="22"/>
        </w:rPr>
        <w:t>Cheshire East Local Plan Strategy (2017): Policy PG 7; Site LPS 36 North West Knutsford; Policies SC 2 and SE 6.</w:t>
      </w:r>
    </w:p>
    <w:p w14:paraId="1D1A1C7C" w14:textId="77777777" w:rsidR="006F6C40" w:rsidRDefault="00000000">
      <w:pPr>
        <w:pStyle w:val="ListParagraph"/>
        <w:numPr>
          <w:ilvl w:val="0"/>
          <w:numId w:val="3"/>
        </w:numPr>
        <w:spacing w:after="120" w:line="300" w:lineRule="auto"/>
      </w:pPr>
      <w:r>
        <w:rPr>
          <w:rFonts w:ascii="Calibri" w:eastAsia="Calibri" w:hAnsi="Calibri" w:cs="Calibri"/>
          <w:sz w:val="22"/>
          <w:szCs w:val="22"/>
        </w:rPr>
        <w:t>Cheshire East Site Allocations and Development Policies Document (2022): Policies REC 1 and REC 3.</w:t>
      </w:r>
    </w:p>
    <w:p w14:paraId="0DC37161" w14:textId="77777777" w:rsidR="006F6C40" w:rsidRDefault="00000000">
      <w:pPr>
        <w:pStyle w:val="ListParagraph"/>
        <w:numPr>
          <w:ilvl w:val="0"/>
          <w:numId w:val="3"/>
        </w:numPr>
        <w:spacing w:after="120" w:line="300" w:lineRule="auto"/>
      </w:pPr>
      <w:r>
        <w:rPr>
          <w:rFonts w:ascii="Calibri" w:eastAsia="Calibri" w:hAnsi="Calibri" w:cs="Calibri"/>
          <w:sz w:val="22"/>
          <w:szCs w:val="22"/>
        </w:rPr>
        <w:t>Cheshire East Knutsford Settlement Report [ED34]: Figure Knutsford 1 and paragraphs 3.4–3.7.</w:t>
      </w:r>
    </w:p>
    <w:p w14:paraId="1DE14FC9" w14:textId="77777777" w:rsidR="006F6C40" w:rsidRDefault="00000000">
      <w:pPr>
        <w:pStyle w:val="ListParagraph"/>
        <w:numPr>
          <w:ilvl w:val="0"/>
          <w:numId w:val="3"/>
        </w:numPr>
        <w:spacing w:after="120" w:line="300" w:lineRule="auto"/>
      </w:pPr>
      <w:r>
        <w:rPr>
          <w:rFonts w:ascii="Calibri" w:eastAsia="Calibri" w:hAnsi="Calibri" w:cs="Calibri"/>
          <w:sz w:val="22"/>
          <w:szCs w:val="22"/>
        </w:rPr>
        <w:t>Knutsford Neighbourhood Plan: Policy E4 and Local Green Spaces LGS-02, LGS-04 and LGS-05.</w:t>
      </w:r>
    </w:p>
    <w:p w14:paraId="67BE98AD" w14:textId="77777777" w:rsidR="006F6C40" w:rsidRDefault="00000000">
      <w:pPr>
        <w:pStyle w:val="ListParagraph"/>
        <w:numPr>
          <w:ilvl w:val="0"/>
          <w:numId w:val="3"/>
        </w:numPr>
        <w:spacing w:after="120" w:line="300" w:lineRule="auto"/>
      </w:pPr>
      <w:r>
        <w:rPr>
          <w:rFonts w:ascii="Calibri" w:eastAsia="Calibri" w:hAnsi="Calibri" w:cs="Calibri"/>
          <w:sz w:val="22"/>
          <w:szCs w:val="22"/>
        </w:rPr>
        <w:t>Cheshire East Playing Pitch &amp; Outdoor Sport Strategy 2024: Site 68 Knutsford Sports Club; Site 77 Manchester Road (Knutsford Football Club).</w:t>
      </w:r>
    </w:p>
    <w:p w14:paraId="15F409B4" w14:textId="77777777" w:rsidR="006F6C40" w:rsidRDefault="00000000">
      <w:pPr>
        <w:pStyle w:val="ListParagraph"/>
        <w:numPr>
          <w:ilvl w:val="0"/>
          <w:numId w:val="3"/>
        </w:numPr>
        <w:spacing w:after="120" w:line="300" w:lineRule="auto"/>
      </w:pPr>
      <w:r>
        <w:rPr>
          <w:rFonts w:ascii="Calibri" w:eastAsia="Calibri" w:hAnsi="Calibri" w:cs="Calibri"/>
          <w:sz w:val="22"/>
          <w:szCs w:val="22"/>
        </w:rPr>
        <w:t>Knutsford Sports Vision &amp; Action Plan (Knutsford Town Council, with Cheshire East).</w:t>
      </w:r>
    </w:p>
    <w:p w14:paraId="4E250499" w14:textId="77777777" w:rsidR="006F6C40" w:rsidRDefault="00000000">
      <w:pPr>
        <w:pStyle w:val="ListParagraph"/>
        <w:numPr>
          <w:ilvl w:val="0"/>
          <w:numId w:val="3"/>
        </w:numPr>
        <w:spacing w:after="120" w:line="300" w:lineRule="auto"/>
      </w:pPr>
      <w:r>
        <w:rPr>
          <w:rFonts w:ascii="Calibri" w:eastAsia="Calibri" w:hAnsi="Calibri" w:cs="Calibri"/>
          <w:sz w:val="22"/>
          <w:szCs w:val="22"/>
        </w:rPr>
        <w:t>Cheshire East 2024 Call for Sites schedule: HE184, HE193, HE194, HE307c, HE307f, HE312, HE326a and HE326b.</w:t>
      </w:r>
    </w:p>
    <w:p w14:paraId="7D2E42FC" w14:textId="77777777" w:rsidR="006F6C40" w:rsidRDefault="00000000">
      <w:pPr>
        <w:pStyle w:val="ListParagraph"/>
        <w:numPr>
          <w:ilvl w:val="0"/>
          <w:numId w:val="3"/>
        </w:numPr>
        <w:spacing w:after="120" w:line="300" w:lineRule="auto"/>
      </w:pPr>
      <w:r>
        <w:rPr>
          <w:rFonts w:ascii="Calibri" w:eastAsia="Calibri" w:hAnsi="Calibri" w:cs="Calibri"/>
          <w:sz w:val="22"/>
          <w:szCs w:val="22"/>
        </w:rPr>
        <w:t>Manchester Road West, application 19/0032M: Section 106 Recreation Open Space contribution.</w:t>
      </w:r>
    </w:p>
    <w:p w14:paraId="72CCC2D7" w14:textId="77777777" w:rsidR="006F6C40" w:rsidRDefault="00000000">
      <w:pPr>
        <w:pStyle w:val="ListParagraph"/>
        <w:numPr>
          <w:ilvl w:val="0"/>
          <w:numId w:val="3"/>
        </w:numPr>
        <w:spacing w:after="120" w:line="300" w:lineRule="auto"/>
      </w:pPr>
      <w:r>
        <w:rPr>
          <w:rFonts w:ascii="Calibri" w:eastAsia="Calibri" w:hAnsi="Calibri" w:cs="Calibri"/>
          <w:sz w:val="22"/>
          <w:szCs w:val="22"/>
        </w:rPr>
        <w:t>Tatton Bluebell Village, application 18/3672M: sports/open-space obligations, Sports Needs Assessment, and conditions concerning Protected Open Space and adjoining football clubs; ground investigation works commenced 2025.</w:t>
      </w:r>
    </w:p>
    <w:p w14:paraId="345BB7B4" w14:textId="77777777" w:rsidR="006F6C40" w:rsidRDefault="00000000">
      <w:pPr>
        <w:pStyle w:val="ListParagraph"/>
        <w:numPr>
          <w:ilvl w:val="0"/>
          <w:numId w:val="3"/>
        </w:numPr>
        <w:spacing w:after="120" w:line="300" w:lineRule="auto"/>
      </w:pPr>
      <w:r>
        <w:rPr>
          <w:rFonts w:ascii="Calibri" w:eastAsia="Calibri" w:hAnsi="Calibri" w:cs="Calibri"/>
          <w:sz w:val="22"/>
          <w:szCs w:val="22"/>
        </w:rPr>
        <w:t>Cheshire East New Local Plan Scoping Consultation 2026 (21 July – 1 September 2026): sections 5.8–5.10 on identification and assessment of sites.</w:t>
      </w:r>
    </w:p>
    <w:p w14:paraId="3DA34923" w14:textId="77777777" w:rsidR="006F6C40" w:rsidRDefault="00000000">
      <w:pPr>
        <w:pStyle w:val="ListParagraph"/>
        <w:numPr>
          <w:ilvl w:val="0"/>
          <w:numId w:val="3"/>
        </w:numPr>
        <w:spacing w:after="120" w:line="300" w:lineRule="auto"/>
      </w:pPr>
      <w:r>
        <w:rPr>
          <w:rFonts w:ascii="Calibri" w:eastAsia="Calibri" w:hAnsi="Calibri" w:cs="Calibri"/>
          <w:sz w:val="22"/>
          <w:szCs w:val="22"/>
        </w:rPr>
        <w:t>Cheshire East spatial planning update: revised local housing need (c. 2,600 dwellings per year) and deliverable housing land supply (c. 3.8 years) following the standard-method changes.</w:t>
      </w:r>
    </w:p>
    <w:p w14:paraId="3C3987E6" w14:textId="77777777" w:rsidR="006F6C40" w:rsidRDefault="00000000">
      <w:pPr>
        <w:pStyle w:val="ListParagraph"/>
        <w:numPr>
          <w:ilvl w:val="0"/>
          <w:numId w:val="3"/>
        </w:numPr>
        <w:spacing w:after="120" w:line="300" w:lineRule="auto"/>
      </w:pPr>
      <w:proofErr w:type="gramStart"/>
      <w:r>
        <w:rPr>
          <w:rFonts w:ascii="Calibri" w:eastAsia="Calibri" w:hAnsi="Calibri" w:cs="Calibri"/>
          <w:sz w:val="22"/>
          <w:szCs w:val="22"/>
        </w:rPr>
        <w:lastRenderedPageBreak/>
        <w:t>National Planning Policy Framework,</w:t>
      </w:r>
      <w:proofErr w:type="gramEnd"/>
      <w:r>
        <w:rPr>
          <w:rFonts w:ascii="Calibri" w:eastAsia="Calibri" w:hAnsi="Calibri" w:cs="Calibri"/>
          <w:sz w:val="22"/>
          <w:szCs w:val="22"/>
        </w:rPr>
        <w:t xml:space="preserve"> published 17 August 2026: Policy HC7 (Development affecting existing recreational land and facilities) and provisions on Green Belt ‘safeguarded land’.</w:t>
      </w:r>
    </w:p>
    <w:sectPr w:rsidR="006F6C40">
      <w:headerReference w:type="default" r:id="rId7"/>
      <w:footerReference w:type="even" r:id="rId8"/>
      <w:footerReference w:type="default" r:id="rId9"/>
      <w:footerReference w:type="first" r:id="rId10"/>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10D5AC" w14:textId="77777777" w:rsidR="00455A15" w:rsidRDefault="00455A15">
      <w:r>
        <w:separator/>
      </w:r>
    </w:p>
  </w:endnote>
  <w:endnote w:type="continuationSeparator" w:id="0">
    <w:p w14:paraId="2380593A" w14:textId="77777777" w:rsidR="00455A15" w:rsidRDefault="00455A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276E3" w14:textId="66F37D4A" w:rsidR="00AF5E30" w:rsidRDefault="00AF5E30">
    <w:pPr>
      <w:pStyle w:val="Footer"/>
    </w:pPr>
    <w:r>
      <w:rPr>
        <w:noProof/>
      </w:rPr>
      <mc:AlternateContent>
        <mc:Choice Requires="wps">
          <w:drawing>
            <wp:anchor distT="0" distB="0" distL="0" distR="0" simplePos="0" relativeHeight="251659264" behindDoc="0" locked="0" layoutInCell="1" allowOverlap="1" wp14:anchorId="261A61D1" wp14:editId="126A8FA9">
              <wp:simplePos x="635" y="635"/>
              <wp:positionH relativeFrom="page">
                <wp:align>center</wp:align>
              </wp:positionH>
              <wp:positionV relativeFrom="page">
                <wp:align>bottom</wp:align>
              </wp:positionV>
              <wp:extent cx="1109980" cy="365760"/>
              <wp:effectExtent l="0" t="0" r="13970" b="0"/>
              <wp:wrapNone/>
              <wp:docPr id="2110063966" name="Text Box 2"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9980" cy="365760"/>
                      </a:xfrm>
                      <a:prstGeom prst="rect">
                        <a:avLst/>
                      </a:prstGeom>
                      <a:noFill/>
                      <a:ln>
                        <a:noFill/>
                      </a:ln>
                    </wps:spPr>
                    <wps:txbx>
                      <w:txbxContent>
                        <w:p w14:paraId="2E765A1D" w14:textId="0D6BD997" w:rsidR="00AF5E30" w:rsidRPr="00AF5E30" w:rsidRDefault="00AF5E30" w:rsidP="00AF5E30">
                          <w:pPr>
                            <w:rPr>
                              <w:rFonts w:ascii="Arial" w:eastAsia="Arial" w:hAnsi="Arial" w:cs="Arial"/>
                              <w:noProof/>
                              <w:color w:val="03D32B"/>
                              <w:sz w:val="24"/>
                              <w:szCs w:val="24"/>
                            </w:rPr>
                          </w:pPr>
                          <w:r w:rsidRPr="00AF5E30">
                            <w:rPr>
                              <w:rFonts w:ascii="Arial" w:eastAsia="Arial" w:hAnsi="Arial" w:cs="Arial"/>
                              <w:noProof/>
                              <w:color w:val="03D32B"/>
                              <w:sz w:val="24"/>
                              <w:szCs w:val="24"/>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61A61D1" id="_x0000_t202" coordsize="21600,21600" o:spt="202" path="m,l,21600r21600,l21600,xe">
              <v:stroke joinstyle="miter"/>
              <v:path gradientshapeok="t" o:connecttype="rect"/>
            </v:shapetype>
            <v:shape id="Text Box 2" o:spid="_x0000_s1026" type="#_x0000_t202" alt="UNCLASSIFIED" style="position:absolute;margin-left:0;margin-top:0;width:87.4pt;height:28.8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" filled="f" stroked="f">
              <v:fill o:detectmouseclick="t"/>
              <v:textbox style="mso-fit-shape-to-text:t" inset="0,0,0,15pt">
                <w:txbxContent>
                  <w:p w14:paraId="2E765A1D" w14:textId="0D6BD997" w:rsidR="00AF5E30" w:rsidRPr="00AF5E30" w:rsidRDefault="00AF5E30" w:rsidP="00AF5E30">
                    <w:pPr>
                      <w:rPr>
                        <w:rFonts w:ascii="Arial" w:eastAsia="Arial" w:hAnsi="Arial" w:cs="Arial"/>
                        <w:noProof/>
                        <w:color w:val="03D32B"/>
                        <w:sz w:val="24"/>
                        <w:szCs w:val="24"/>
                      </w:rPr>
                    </w:pPr>
                    <w:r w:rsidRPr="00AF5E30">
                      <w:rPr>
                        <w:rFonts w:ascii="Arial" w:eastAsia="Arial" w:hAnsi="Arial" w:cs="Arial"/>
                        <w:noProof/>
                        <w:color w:val="03D32B"/>
                        <w:sz w:val="24"/>
                        <w:szCs w:val="24"/>
                      </w:rPr>
                      <w:t>UNCLASSIFIED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26856" w14:textId="0FE55F02" w:rsidR="006F6C40" w:rsidRDefault="00AF5E30">
    <w:pPr>
      <w:jc w:val="center"/>
    </w:pPr>
    <w:r>
      <w:rPr>
        <w:rFonts w:ascii="Calibri" w:eastAsia="Calibri" w:hAnsi="Calibri" w:cs="Calibri"/>
        <w:color w:val="666666"/>
        <w:sz w:val="16"/>
        <w:szCs w:val="16"/>
      </w:rPr>
      <w:t xml:space="preserve">Page </w:t>
    </w:r>
    <w:r>
      <w:rPr>
        <w:rFonts w:ascii="Calibri" w:eastAsia="Calibri" w:hAnsi="Calibri" w:cs="Calibri"/>
        <w:color w:val="666666"/>
        <w:sz w:val="16"/>
        <w:szCs w:val="16"/>
      </w:rPr>
      <w:fldChar w:fldCharType="begin"/>
    </w:r>
    <w:r>
      <w:rPr>
        <w:rFonts w:ascii="Calibri" w:eastAsia="Calibri" w:hAnsi="Calibri" w:cs="Calibri"/>
        <w:color w:val="666666"/>
        <w:sz w:val="16"/>
        <w:szCs w:val="16"/>
      </w:rPr>
      <w:instrText>PAGE</w:instrText>
    </w:r>
    <w:r>
      <w:rPr>
        <w:rFonts w:ascii="Calibri" w:eastAsia="Calibri" w:hAnsi="Calibri" w:cs="Calibri"/>
        <w:color w:val="666666"/>
        <w:sz w:val="16"/>
        <w:szCs w:val="16"/>
      </w:rPr>
      <w:fldChar w:fldCharType="separate"/>
    </w:r>
    <w:r>
      <w:rPr>
        <w:rFonts w:ascii="Calibri" w:eastAsia="Calibri" w:hAnsi="Calibri" w:cs="Calibri"/>
        <w:noProof/>
        <w:color w:val="666666"/>
        <w:sz w:val="16"/>
        <w:szCs w:val="16"/>
      </w:rPr>
      <w:t>1</w:t>
    </w:r>
    <w:r>
      <w:rPr>
        <w:rFonts w:ascii="Calibri" w:eastAsia="Calibri" w:hAnsi="Calibri" w:cs="Calibri"/>
        <w:color w:val="666666"/>
        <w:sz w:val="16"/>
        <w:szCs w:val="16"/>
      </w:rPr>
      <w:fldChar w:fldCharType="end"/>
    </w:r>
    <w:r>
      <w:rPr>
        <w:rFonts w:ascii="Calibri" w:eastAsia="Calibri" w:hAnsi="Calibri" w:cs="Calibri"/>
        <w:color w:val="666666"/>
        <w:sz w:val="16"/>
        <w:szCs w:val="16"/>
      </w:rPr>
      <w:t xml:space="preserve"> of </w:t>
    </w:r>
    <w:r>
      <w:rPr>
        <w:rFonts w:ascii="Calibri" w:eastAsia="Calibri" w:hAnsi="Calibri" w:cs="Calibri"/>
        <w:color w:val="666666"/>
        <w:sz w:val="16"/>
        <w:szCs w:val="16"/>
      </w:rPr>
      <w:fldChar w:fldCharType="begin"/>
    </w:r>
    <w:r>
      <w:rPr>
        <w:rFonts w:ascii="Calibri" w:eastAsia="Calibri" w:hAnsi="Calibri" w:cs="Calibri"/>
        <w:color w:val="666666"/>
        <w:sz w:val="16"/>
        <w:szCs w:val="16"/>
      </w:rPr>
      <w:instrText>NUMPAGES</w:instrText>
    </w:r>
    <w:r>
      <w:rPr>
        <w:rFonts w:ascii="Calibri" w:eastAsia="Calibri" w:hAnsi="Calibri" w:cs="Calibri"/>
        <w:color w:val="666666"/>
        <w:sz w:val="16"/>
        <w:szCs w:val="16"/>
      </w:rPr>
      <w:fldChar w:fldCharType="separate"/>
    </w:r>
    <w:r>
      <w:rPr>
        <w:rFonts w:ascii="Calibri" w:eastAsia="Calibri" w:hAnsi="Calibri" w:cs="Calibri"/>
        <w:noProof/>
        <w:color w:val="666666"/>
        <w:sz w:val="16"/>
        <w:szCs w:val="16"/>
      </w:rPr>
      <w:t>2</w:t>
    </w:r>
    <w:r>
      <w:rPr>
        <w:rFonts w:ascii="Calibri" w:eastAsia="Calibri" w:hAnsi="Calibri" w:cs="Calibri"/>
        <w:color w:val="666666"/>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1A959" w14:textId="267D136D" w:rsidR="00AF5E30" w:rsidRDefault="00AF5E30">
    <w:pPr>
      <w:pStyle w:val="Footer"/>
    </w:pPr>
    <w:r>
      <w:rPr>
        <w:noProof/>
      </w:rPr>
      <mc:AlternateContent>
        <mc:Choice Requires="wps">
          <w:drawing>
            <wp:anchor distT="0" distB="0" distL="0" distR="0" simplePos="0" relativeHeight="251658240" behindDoc="0" locked="0" layoutInCell="1" allowOverlap="1" wp14:anchorId="275EFCD0" wp14:editId="50FFBFFB">
              <wp:simplePos x="635" y="635"/>
              <wp:positionH relativeFrom="page">
                <wp:align>center</wp:align>
              </wp:positionH>
              <wp:positionV relativeFrom="page">
                <wp:align>bottom</wp:align>
              </wp:positionV>
              <wp:extent cx="1109980" cy="365760"/>
              <wp:effectExtent l="0" t="0" r="13970" b="0"/>
              <wp:wrapNone/>
              <wp:docPr id="1318437721" name="Text Box 1"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9980" cy="365760"/>
                      </a:xfrm>
                      <a:prstGeom prst="rect">
                        <a:avLst/>
                      </a:prstGeom>
                      <a:noFill/>
                      <a:ln>
                        <a:noFill/>
                      </a:ln>
                    </wps:spPr>
                    <wps:txbx>
                      <w:txbxContent>
                        <w:p w14:paraId="3AED0672" w14:textId="321D0EF1" w:rsidR="00AF5E30" w:rsidRPr="00AF5E30" w:rsidRDefault="00AF5E30" w:rsidP="00AF5E30">
                          <w:pPr>
                            <w:rPr>
                              <w:rFonts w:ascii="Arial" w:eastAsia="Arial" w:hAnsi="Arial" w:cs="Arial"/>
                              <w:noProof/>
                              <w:color w:val="03D32B"/>
                              <w:sz w:val="24"/>
                              <w:szCs w:val="24"/>
                            </w:rPr>
                          </w:pPr>
                          <w:r w:rsidRPr="00AF5E30">
                            <w:rPr>
                              <w:rFonts w:ascii="Arial" w:eastAsia="Arial" w:hAnsi="Arial" w:cs="Arial"/>
                              <w:noProof/>
                              <w:color w:val="03D32B"/>
                              <w:sz w:val="24"/>
                              <w:szCs w:val="24"/>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75EFCD0" id="_x0000_t202" coordsize="21600,21600" o:spt="202" path="m,l,21600r21600,l21600,xe">
              <v:stroke joinstyle="miter"/>
              <v:path gradientshapeok="t" o:connecttype="rect"/>
            </v:shapetype>
            <v:shape id="Text Box 1" o:spid="_x0000_s1028" type="#_x0000_t202" alt="UNCLASSIFIED" style="position:absolute;margin-left:0;margin-top:0;width:87.4pt;height:28.8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" filled="f" stroked="f">
              <v:fill o:detectmouseclick="t"/>
              <v:textbox style="mso-fit-shape-to-text:t" inset="0,0,0,15pt">
                <w:txbxContent>
                  <w:p w14:paraId="3AED0672" w14:textId="321D0EF1" w:rsidR="00AF5E30" w:rsidRPr="00AF5E30" w:rsidRDefault="00AF5E30" w:rsidP="00AF5E30">
                    <w:pPr>
                      <w:rPr>
                        <w:rFonts w:ascii="Arial" w:eastAsia="Arial" w:hAnsi="Arial" w:cs="Arial"/>
                        <w:noProof/>
                        <w:color w:val="03D32B"/>
                        <w:sz w:val="24"/>
                        <w:szCs w:val="24"/>
                      </w:rPr>
                    </w:pPr>
                    <w:r w:rsidRPr="00AF5E30">
                      <w:rPr>
                        <w:rFonts w:ascii="Arial" w:eastAsia="Arial" w:hAnsi="Arial" w:cs="Arial"/>
                        <w:noProof/>
                        <w:color w:val="03D32B"/>
                        <w:sz w:val="24"/>
                        <w:szCs w:val="24"/>
                      </w:rPr>
                      <w:t>UNCLASSIFIED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C32945" w14:textId="77777777" w:rsidR="00455A15" w:rsidRDefault="00455A15">
      <w:r>
        <w:separator/>
      </w:r>
    </w:p>
  </w:footnote>
  <w:footnote w:type="continuationSeparator" w:id="0">
    <w:p w14:paraId="7D9BEC3B" w14:textId="77777777" w:rsidR="00455A15" w:rsidRDefault="00455A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FF976" w14:textId="77777777" w:rsidR="006F6C40" w:rsidRDefault="00000000">
    <w:pPr>
      <w:jc w:val="right"/>
    </w:pPr>
    <w:r>
      <w:rPr>
        <w:rFonts w:ascii="Calibri" w:eastAsia="Calibri" w:hAnsi="Calibri" w:cs="Calibri"/>
        <w:i/>
        <w:iCs/>
        <w:color w:val="666666"/>
        <w:sz w:val="16"/>
        <w:szCs w:val="16"/>
      </w:rPr>
      <w:t>Cheshire East Local Plan Scoping Consultation 2026 – Representation – Alex Chaplin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F094E"/>
    <w:multiLevelType w:val="hybridMultilevel"/>
    <w:tmpl w:val="44C6B03C"/>
    <w:lvl w:ilvl="0" w:tplc="84B47F4E">
      <w:start w:val="1"/>
      <w:numFmt w:val="bullet"/>
      <w:lvlText w:val="•"/>
      <w:lvlJc w:val="left"/>
      <w:pPr>
        <w:ind w:left="720" w:hanging="360"/>
      </w:pPr>
    </w:lvl>
    <w:lvl w:ilvl="1" w:tplc="5EEE69BA">
      <w:numFmt w:val="decimal"/>
      <w:lvlText w:val=""/>
      <w:lvlJc w:val="left"/>
    </w:lvl>
    <w:lvl w:ilvl="2" w:tplc="82CEA994">
      <w:numFmt w:val="decimal"/>
      <w:lvlText w:val=""/>
      <w:lvlJc w:val="left"/>
    </w:lvl>
    <w:lvl w:ilvl="3" w:tplc="2F3678B8">
      <w:numFmt w:val="decimal"/>
      <w:lvlText w:val=""/>
      <w:lvlJc w:val="left"/>
    </w:lvl>
    <w:lvl w:ilvl="4" w:tplc="B9E05138">
      <w:numFmt w:val="decimal"/>
      <w:lvlText w:val=""/>
      <w:lvlJc w:val="left"/>
    </w:lvl>
    <w:lvl w:ilvl="5" w:tplc="5A0E1E98">
      <w:numFmt w:val="decimal"/>
      <w:lvlText w:val=""/>
      <w:lvlJc w:val="left"/>
    </w:lvl>
    <w:lvl w:ilvl="6" w:tplc="0226CA06">
      <w:numFmt w:val="decimal"/>
      <w:lvlText w:val=""/>
      <w:lvlJc w:val="left"/>
    </w:lvl>
    <w:lvl w:ilvl="7" w:tplc="BC4077EE">
      <w:numFmt w:val="decimal"/>
      <w:lvlText w:val=""/>
      <w:lvlJc w:val="left"/>
    </w:lvl>
    <w:lvl w:ilvl="8" w:tplc="468A6EC0">
      <w:numFmt w:val="decimal"/>
      <w:lvlText w:val=""/>
      <w:lvlJc w:val="left"/>
    </w:lvl>
  </w:abstractNum>
  <w:abstractNum w:abstractNumId="1" w15:restartNumberingAfterBreak="0">
    <w:nsid w:val="31205DB6"/>
    <w:multiLevelType w:val="hybridMultilevel"/>
    <w:tmpl w:val="A134E37C"/>
    <w:lvl w:ilvl="0" w:tplc="A2F28646">
      <w:start w:val="1"/>
      <w:numFmt w:val="decimal"/>
      <w:lvlText w:val="%1."/>
      <w:lvlJc w:val="left"/>
      <w:pPr>
        <w:ind w:left="720" w:hanging="360"/>
      </w:pPr>
    </w:lvl>
    <w:lvl w:ilvl="1" w:tplc="B9CA275C">
      <w:numFmt w:val="decimal"/>
      <w:lvlText w:val=""/>
      <w:lvlJc w:val="left"/>
    </w:lvl>
    <w:lvl w:ilvl="2" w:tplc="3D4A9832">
      <w:numFmt w:val="decimal"/>
      <w:lvlText w:val=""/>
      <w:lvlJc w:val="left"/>
    </w:lvl>
    <w:lvl w:ilvl="3" w:tplc="1C68031E">
      <w:numFmt w:val="decimal"/>
      <w:lvlText w:val=""/>
      <w:lvlJc w:val="left"/>
    </w:lvl>
    <w:lvl w:ilvl="4" w:tplc="D7A8C0D2">
      <w:numFmt w:val="decimal"/>
      <w:lvlText w:val=""/>
      <w:lvlJc w:val="left"/>
    </w:lvl>
    <w:lvl w:ilvl="5" w:tplc="BF244A90">
      <w:numFmt w:val="decimal"/>
      <w:lvlText w:val=""/>
      <w:lvlJc w:val="left"/>
    </w:lvl>
    <w:lvl w:ilvl="6" w:tplc="D34CCB52">
      <w:numFmt w:val="decimal"/>
      <w:lvlText w:val=""/>
      <w:lvlJc w:val="left"/>
    </w:lvl>
    <w:lvl w:ilvl="7" w:tplc="AF5AAD48">
      <w:numFmt w:val="decimal"/>
      <w:lvlText w:val=""/>
      <w:lvlJc w:val="left"/>
    </w:lvl>
    <w:lvl w:ilvl="8" w:tplc="52A4DE58">
      <w:numFmt w:val="decimal"/>
      <w:lvlText w:val=""/>
      <w:lvlJc w:val="left"/>
    </w:lvl>
  </w:abstractNum>
  <w:abstractNum w:abstractNumId="2" w15:restartNumberingAfterBreak="0">
    <w:nsid w:val="41812708"/>
    <w:multiLevelType w:val="hybridMultilevel"/>
    <w:tmpl w:val="5F2C8280"/>
    <w:lvl w:ilvl="0" w:tplc="05FAAD40">
      <w:start w:val="1"/>
      <w:numFmt w:val="bullet"/>
      <w:lvlText w:val="●"/>
      <w:lvlJc w:val="left"/>
      <w:pPr>
        <w:ind w:left="720" w:hanging="360"/>
      </w:pPr>
    </w:lvl>
    <w:lvl w:ilvl="1" w:tplc="F7228D18">
      <w:start w:val="1"/>
      <w:numFmt w:val="bullet"/>
      <w:lvlText w:val="○"/>
      <w:lvlJc w:val="left"/>
      <w:pPr>
        <w:ind w:left="1440" w:hanging="360"/>
      </w:pPr>
    </w:lvl>
    <w:lvl w:ilvl="2" w:tplc="33EA18E4">
      <w:start w:val="1"/>
      <w:numFmt w:val="bullet"/>
      <w:lvlText w:val="■"/>
      <w:lvlJc w:val="left"/>
      <w:pPr>
        <w:ind w:left="2160" w:hanging="360"/>
      </w:pPr>
    </w:lvl>
    <w:lvl w:ilvl="3" w:tplc="5EF8CDEC">
      <w:start w:val="1"/>
      <w:numFmt w:val="bullet"/>
      <w:lvlText w:val="●"/>
      <w:lvlJc w:val="left"/>
      <w:pPr>
        <w:ind w:left="2880" w:hanging="360"/>
      </w:pPr>
    </w:lvl>
    <w:lvl w:ilvl="4" w:tplc="8F58B448">
      <w:start w:val="1"/>
      <w:numFmt w:val="bullet"/>
      <w:lvlText w:val="○"/>
      <w:lvlJc w:val="left"/>
      <w:pPr>
        <w:ind w:left="3600" w:hanging="360"/>
      </w:pPr>
    </w:lvl>
    <w:lvl w:ilvl="5" w:tplc="A256343E">
      <w:start w:val="1"/>
      <w:numFmt w:val="bullet"/>
      <w:lvlText w:val="■"/>
      <w:lvlJc w:val="left"/>
      <w:pPr>
        <w:ind w:left="4320" w:hanging="360"/>
      </w:pPr>
    </w:lvl>
    <w:lvl w:ilvl="6" w:tplc="BC64D836">
      <w:start w:val="1"/>
      <w:numFmt w:val="bullet"/>
      <w:lvlText w:val="●"/>
      <w:lvlJc w:val="left"/>
      <w:pPr>
        <w:ind w:left="5040" w:hanging="360"/>
      </w:pPr>
    </w:lvl>
    <w:lvl w:ilvl="7" w:tplc="2684EC70">
      <w:start w:val="1"/>
      <w:numFmt w:val="bullet"/>
      <w:lvlText w:val="●"/>
      <w:lvlJc w:val="left"/>
      <w:pPr>
        <w:ind w:left="5760" w:hanging="360"/>
      </w:pPr>
    </w:lvl>
    <w:lvl w:ilvl="8" w:tplc="0B8C46A2">
      <w:start w:val="1"/>
      <w:numFmt w:val="bullet"/>
      <w:lvlText w:val="●"/>
      <w:lvlJc w:val="left"/>
      <w:pPr>
        <w:ind w:left="6480" w:hanging="360"/>
      </w:pPr>
    </w:lvl>
  </w:abstractNum>
  <w:num w:numId="1" w16cid:durableId="653799842">
    <w:abstractNumId w:val="2"/>
    <w:lvlOverride w:ilvl="0">
      <w:startOverride w:val="1"/>
    </w:lvlOverride>
  </w:num>
  <w:num w:numId="2" w16cid:durableId="469906099">
    <w:abstractNumId w:val="1"/>
    <w:lvlOverride w:ilvl="0">
      <w:startOverride w:val="1"/>
    </w:lvlOverride>
  </w:num>
  <w:num w:numId="3" w16cid:durableId="146754776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6C40"/>
    <w:rsid w:val="000536CE"/>
    <w:rsid w:val="002A1797"/>
    <w:rsid w:val="00455A15"/>
    <w:rsid w:val="006F6C40"/>
    <w:rsid w:val="007966DD"/>
    <w:rsid w:val="00994972"/>
    <w:rsid w:val="00AF5E30"/>
    <w:rsid w:val="00F060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1849FD"/>
  <w15:docId w15:val="{4D261E4E-7D98-416E-9B1F-7F6BC8608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Footer">
    <w:name w:val="footer"/>
    <w:basedOn w:val="Normal"/>
    <w:link w:val="FooterChar"/>
    <w:uiPriority w:val="99"/>
    <w:unhideWhenUsed/>
    <w:rsid w:val="00AF5E30"/>
    <w:pPr>
      <w:tabs>
        <w:tab w:val="center" w:pos="4513"/>
        <w:tab w:val="right" w:pos="9026"/>
      </w:tabs>
    </w:pPr>
  </w:style>
  <w:style w:type="character" w:customStyle="1" w:styleId="FooterChar">
    <w:name w:val="Footer Char"/>
    <w:basedOn w:val="DefaultParagraphFont"/>
    <w:link w:val="Footer"/>
    <w:uiPriority w:val="99"/>
    <w:rsid w:val="00AF5E30"/>
  </w:style>
  <w:style w:type="paragraph" w:styleId="Header">
    <w:name w:val="header"/>
    <w:basedOn w:val="Normal"/>
    <w:link w:val="HeaderChar"/>
    <w:uiPriority w:val="99"/>
    <w:unhideWhenUsed/>
    <w:rsid w:val="002A1797"/>
    <w:pPr>
      <w:tabs>
        <w:tab w:val="center" w:pos="4513"/>
        <w:tab w:val="right" w:pos="9026"/>
      </w:tabs>
    </w:pPr>
  </w:style>
  <w:style w:type="character" w:customStyle="1" w:styleId="HeaderChar">
    <w:name w:val="Header Char"/>
    <w:basedOn w:val="DefaultParagraphFont"/>
    <w:link w:val="Header"/>
    <w:uiPriority w:val="99"/>
    <w:rsid w:val="002A17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6597c0a0-2350-455b-a382-b50184ec3862}" enabled="1" method="Privileged" siteId="{cdb92d10-23cb-4ac1-a9b3-34f4faaa2851}" contentBits="2" removed="0"/>
</clbl:labelList>
</file>

<file path=docProps/app.xml><?xml version="1.0" encoding="utf-8"?>
<Properties xmlns="http://schemas.openxmlformats.org/officeDocument/2006/extended-properties" xmlns:vt="http://schemas.openxmlformats.org/officeDocument/2006/docPropsVTypes">
  <Template>Normal</Template>
  <TotalTime>15</TotalTime>
  <Pages>9</Pages>
  <Words>4045</Words>
  <Characters>23059</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TIVEY, Sadie</cp:lastModifiedBy>
  <cp:revision>3</cp:revision>
  <dcterms:created xsi:type="dcterms:W3CDTF">2026-08-31T17:52:00Z</dcterms:created>
  <dcterms:modified xsi:type="dcterms:W3CDTF">2026-09-25T10:45:00Z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4e95c359,7dc5055e,92a48f5</vt:lpwstr>
  </property>
  <property fmtid="{D5CDD505-2E9C-101B-9397-08002B2CF9AE}" pid="3" name="ClassificationContentMarkingFooterFontProps">
    <vt:lpwstr>#03d32b,12,Arial</vt:lpwstr>
  </property>
  <property fmtid="{D5CDD505-2E9C-101B-9397-08002B2CF9AE}" pid="4" name="ClassificationContentMarkingFooterText">
    <vt:lpwstr>UNCLASSIFIED</vt:lpwstr>
  </property>
</Properties>
</file>