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C03B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r>
        <w:rPr>
          <w:rFonts w:ascii="Work Sans" w:hAnsi="Work Sans"/>
          <w:color w:val="0B0C0C"/>
        </w:rPr>
        <w:t xml:space="preserve">Cheshire East Council (Strategic Planning Team), </w:t>
      </w:r>
    </w:p>
    <w:p w14:paraId="36F55ADF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r>
        <w:rPr>
          <w:rFonts w:ascii="Work Sans" w:hAnsi="Work Sans"/>
          <w:color w:val="0B0C0C"/>
        </w:rPr>
        <w:t xml:space="preserve">By letter: </w:t>
      </w:r>
    </w:p>
    <w:p w14:paraId="7DABE2C4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r>
        <w:rPr>
          <w:rFonts w:ascii="Arial" w:hAnsi="Arial" w:cs="Arial"/>
          <w:color w:val="0B0C0C"/>
        </w:rPr>
        <w:t>Delamere House,</w:t>
      </w:r>
    </w:p>
    <w:p w14:paraId="46277D87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r>
        <w:rPr>
          <w:rFonts w:ascii="Arial" w:hAnsi="Arial" w:cs="Arial"/>
          <w:color w:val="0B0C0C"/>
        </w:rPr>
        <w:t>Delamere Street,</w:t>
      </w:r>
    </w:p>
    <w:p w14:paraId="7407757D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r>
        <w:rPr>
          <w:rFonts w:ascii="Arial" w:hAnsi="Arial" w:cs="Arial"/>
          <w:color w:val="0B0C0C"/>
        </w:rPr>
        <w:t>Crewe,</w:t>
      </w:r>
    </w:p>
    <w:p w14:paraId="5D332742" w14:textId="77777777" w:rsidR="00C905BE" w:rsidRDefault="00C905BE" w:rsidP="00C905BE">
      <w:pPr>
        <w:pStyle w:val="body"/>
        <w:spacing w:before="0" w:beforeAutospacing="0" w:after="0" w:afterAutospacing="0"/>
        <w:rPr>
          <w:rFonts w:ascii="Arial" w:hAnsi="Arial" w:cs="Arial"/>
          <w:color w:val="0B0C0C"/>
        </w:rPr>
      </w:pPr>
      <w:r>
        <w:rPr>
          <w:rFonts w:ascii="Arial" w:hAnsi="Arial" w:cs="Arial"/>
          <w:color w:val="0B0C0C"/>
        </w:rPr>
        <w:t>CW1 2LL</w:t>
      </w:r>
    </w:p>
    <w:p w14:paraId="0E75E9B8" w14:textId="77777777" w:rsidR="00C905BE" w:rsidRDefault="00C905BE" w:rsidP="00C905BE">
      <w:pPr>
        <w:pStyle w:val="body"/>
        <w:spacing w:before="0" w:beforeAutospacing="0" w:after="0" w:afterAutospacing="0"/>
        <w:rPr>
          <w:rFonts w:ascii="Arial" w:hAnsi="Arial" w:cs="Arial"/>
          <w:color w:val="0B0C0C"/>
        </w:rPr>
      </w:pPr>
    </w:p>
    <w:p w14:paraId="5C93EA0B" w14:textId="77777777" w:rsidR="00C905BE" w:rsidRDefault="00C905BE" w:rsidP="00C905BE">
      <w:pPr>
        <w:pStyle w:val="body"/>
        <w:spacing w:before="0" w:beforeAutospacing="0" w:after="0" w:afterAutospacing="0"/>
        <w:rPr>
          <w:rFonts w:ascii="Work Sans" w:hAnsi="Work Sans"/>
          <w:color w:val="1D1E20"/>
        </w:rPr>
      </w:pPr>
      <w:hyperlink r:id="rId8" w:history="1">
        <w:r w:rsidRPr="00BF53F1">
          <w:rPr>
            <w:rStyle w:val="Hyperlink"/>
            <w:rFonts w:ascii="Work Sans" w:hAnsi="Work Sans"/>
          </w:rPr>
          <w:t>localplan@cheshireeast.gov.uk</w:t>
        </w:r>
      </w:hyperlink>
    </w:p>
    <w:p w14:paraId="31869CA9" w14:textId="77777777" w:rsidR="00C905BE" w:rsidRDefault="00C905BE" w:rsidP="00E337A9"/>
    <w:p w14:paraId="1434D21E" w14:textId="77777777" w:rsidR="00C905BE" w:rsidRDefault="00C905BE" w:rsidP="00E337A9">
      <w:r>
        <w:t>31/8/2026</w:t>
      </w:r>
    </w:p>
    <w:p w14:paraId="496D90C1" w14:textId="77777777" w:rsidR="00C905BE" w:rsidRDefault="00C905BE" w:rsidP="00E337A9"/>
    <w:p w14:paraId="0B571D60" w14:textId="77777777" w:rsidR="00C905BE" w:rsidRDefault="00C905BE" w:rsidP="00E337A9">
      <w:r>
        <w:t>Dear Sirs</w:t>
      </w:r>
    </w:p>
    <w:p w14:paraId="280E9683" w14:textId="77777777" w:rsidR="00C905BE" w:rsidRDefault="00C905BE" w:rsidP="00E337A9"/>
    <w:p w14:paraId="52B0E0A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I am writing to formally object to the inclusion of the 291.03-hectare land submission around</w:t>
      </w:r>
    </w:p>
    <w:p w14:paraId="66A64D7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Ashley (12 adjoining sites totalling 291.03 hectares) in the Cheshire East Local Plan / SHELAA.</w:t>
      </w:r>
    </w:p>
    <w:p w14:paraId="14F5B06F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A1C11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1. Conflict with Green Belt Policy (</w:t>
      </w:r>
      <w:r>
        <w:rPr>
          <w:rFonts w:ascii="Garamond" w:hAnsi="Garamond" w:cs="Garamond"/>
          <w:color w:val="0A1C11"/>
          <w:lang w:eastAsia="en-GB"/>
        </w:rPr>
        <w:t>North Cheshire Green Belt &amp; 'Wash-Over' Status):</w:t>
      </w:r>
    </w:p>
    <w:p w14:paraId="307E57A2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SymbolMT" w:hAnsi="SymbolMT" w:cs="SymbolMT"/>
          <w:color w:val="000000"/>
          <w:sz w:val="20"/>
          <w:szCs w:val="20"/>
          <w:lang w:eastAsia="en-GB"/>
        </w:rPr>
        <w:t xml:space="preserve">• </w:t>
      </w:r>
      <w:r>
        <w:rPr>
          <w:rFonts w:ascii="Garamond" w:hAnsi="Garamond" w:cs="Garamond"/>
          <w:color w:val="000000"/>
          <w:lang w:eastAsia="en-GB"/>
        </w:rPr>
        <w:t>Wash-Over Green Belt: The parish of Ashley is designated as "wash-over" Green Belt—</w:t>
      </w:r>
    </w:p>
    <w:p w14:paraId="79F4BC5D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the most protective form of rural Green Belt classification.</w:t>
      </w:r>
    </w:p>
    <w:p w14:paraId="3CEB25CF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SymbolMT" w:hAnsi="SymbolMT" w:cs="SymbolMT"/>
          <w:color w:val="000000"/>
          <w:sz w:val="20"/>
          <w:szCs w:val="20"/>
          <w:lang w:eastAsia="en-GB"/>
        </w:rPr>
        <w:t xml:space="preserve">• </w:t>
      </w:r>
      <w:r>
        <w:rPr>
          <w:rFonts w:ascii="Garamond" w:hAnsi="Garamond" w:cs="Garamond"/>
          <w:color w:val="000000"/>
          <w:lang w:eastAsia="en-GB"/>
        </w:rPr>
        <w:t>Regional Strategic Buffer: Established in the 1950s specifically to prevent urban sprawl,</w:t>
      </w:r>
    </w:p>
    <w:p w14:paraId="241650F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Ashley forms the crucial narrow green buffer separating South Manchester and Trafford</w:t>
      </w:r>
    </w:p>
    <w:p w14:paraId="072BDFC2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(Hale, Hale Barns, Altrincham) from villages and towns in Cheshire East (Mobberley,</w:t>
      </w:r>
    </w:p>
    <w:p w14:paraId="3933BD6A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Knutsford).</w:t>
      </w:r>
    </w:p>
    <w:p w14:paraId="10F65E3B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SymbolMT" w:hAnsi="SymbolMT" w:cs="SymbolMT"/>
          <w:color w:val="000000"/>
          <w:sz w:val="20"/>
          <w:szCs w:val="20"/>
          <w:lang w:eastAsia="en-GB"/>
        </w:rPr>
        <w:t xml:space="preserve">• </w:t>
      </w:r>
      <w:r>
        <w:rPr>
          <w:rFonts w:ascii="Garamond" w:hAnsi="Garamond" w:cs="Garamond"/>
          <w:color w:val="000000"/>
          <w:lang w:eastAsia="en-GB"/>
        </w:rPr>
        <w:t>Failure of the National "Grey Belt" Test: Under national policy, Green Belt land can only</w:t>
      </w:r>
    </w:p>
    <w:p w14:paraId="5689C54A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be considered for release if it meets the definition of "Grey Belt" (previously developed</w:t>
      </w:r>
    </w:p>
    <w:p w14:paraId="7E62892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brownfield land or land that makes a negligible contribution to Green Belt purposes).</w:t>
      </w:r>
    </w:p>
    <w:p w14:paraId="2533FB14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Open, working farmland across Ashley fails this test.</w:t>
      </w:r>
    </w:p>
    <w:p w14:paraId="5633EF61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SymbolMT" w:hAnsi="SymbolMT" w:cs="SymbolMT"/>
          <w:color w:val="000000"/>
          <w:sz w:val="20"/>
          <w:szCs w:val="20"/>
          <w:lang w:eastAsia="en-GB"/>
        </w:rPr>
        <w:t xml:space="preserve">• </w:t>
      </w:r>
      <w:r>
        <w:rPr>
          <w:rFonts w:ascii="Garamond" w:hAnsi="Garamond" w:cs="Garamond"/>
          <w:color w:val="000000"/>
          <w:lang w:eastAsia="en-GB"/>
        </w:rPr>
        <w:t>Direct Conflict with Core Green Belt Purposes (NPPF):</w:t>
      </w:r>
    </w:p>
    <w:p w14:paraId="21733029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CourierNewPSMT" w:hAnsi="CourierNewPSMT" w:cs="CourierNewPSMT"/>
          <w:color w:val="000000"/>
          <w:sz w:val="20"/>
          <w:szCs w:val="20"/>
          <w:lang w:eastAsia="en-GB"/>
        </w:rPr>
        <w:t xml:space="preserve">o </w:t>
      </w:r>
      <w:r>
        <w:rPr>
          <w:rFonts w:ascii="Garamond-Italic" w:hAnsi="Garamond-Italic" w:cs="Garamond-Italic"/>
          <w:i/>
          <w:iCs/>
          <w:color w:val="000000"/>
          <w:lang w:eastAsia="en-GB"/>
        </w:rPr>
        <w:t xml:space="preserve">Purpose A (Check Unrestricted Sprawl): </w:t>
      </w:r>
      <w:r>
        <w:rPr>
          <w:rFonts w:ascii="Garamond" w:hAnsi="Garamond" w:cs="Garamond"/>
          <w:color w:val="000000"/>
          <w:lang w:eastAsia="en-GB"/>
        </w:rPr>
        <w:t>Serves as the primary barrier preventing the</w:t>
      </w:r>
    </w:p>
    <w:p w14:paraId="5B0B5927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Manchester conurbation from expanding southwards.</w:t>
      </w:r>
    </w:p>
    <w:p w14:paraId="5D681937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CourierNewPSMT" w:hAnsi="CourierNewPSMT" w:cs="CourierNewPSMT"/>
          <w:color w:val="000000"/>
          <w:sz w:val="20"/>
          <w:szCs w:val="20"/>
          <w:lang w:eastAsia="en-GB"/>
        </w:rPr>
        <w:t xml:space="preserve">o </w:t>
      </w:r>
      <w:r>
        <w:rPr>
          <w:rFonts w:ascii="Garamond-Italic" w:hAnsi="Garamond-Italic" w:cs="Garamond-Italic"/>
          <w:i/>
          <w:iCs/>
          <w:color w:val="000000"/>
          <w:lang w:eastAsia="en-GB"/>
        </w:rPr>
        <w:t xml:space="preserve">Purpose B (Prevent Towns Merging): </w:t>
      </w:r>
      <w:r>
        <w:rPr>
          <w:rFonts w:ascii="Garamond" w:hAnsi="Garamond" w:cs="Garamond"/>
          <w:color w:val="000000"/>
          <w:lang w:eastAsia="en-GB"/>
        </w:rPr>
        <w:t>Building across these 291.03 hectares would</w:t>
      </w:r>
    </w:p>
    <w:p w14:paraId="7D9C29F8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physically merge Greater Manchester settlements with Cheshire villages and</w:t>
      </w:r>
    </w:p>
    <w:p w14:paraId="6B030ADF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towns.</w:t>
      </w:r>
    </w:p>
    <w:p w14:paraId="6EC50FE9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CourierNewPSMT" w:hAnsi="CourierNewPSMT" w:cs="CourierNewPSMT"/>
          <w:color w:val="000000"/>
          <w:sz w:val="20"/>
          <w:szCs w:val="20"/>
          <w:lang w:eastAsia="en-GB"/>
        </w:rPr>
        <w:t xml:space="preserve">o </w:t>
      </w:r>
      <w:r>
        <w:rPr>
          <w:rFonts w:ascii="Garamond-Italic" w:hAnsi="Garamond-Italic" w:cs="Garamond-Italic"/>
          <w:i/>
          <w:iCs/>
          <w:color w:val="000000"/>
          <w:lang w:eastAsia="en-GB"/>
        </w:rPr>
        <w:t xml:space="preserve">Purpose C (Safeguard the Countryside): </w:t>
      </w:r>
      <w:r>
        <w:rPr>
          <w:rFonts w:ascii="Garamond" w:hAnsi="Garamond" w:cs="Garamond"/>
          <w:color w:val="000000"/>
          <w:lang w:eastAsia="en-GB"/>
        </w:rPr>
        <w:t>Protects active, open agricultural land from</w:t>
      </w:r>
    </w:p>
    <w:p w14:paraId="1900441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suburban encroachment. Protecting this land aligns with national policy to</w:t>
      </w:r>
    </w:p>
    <w:p w14:paraId="3A404C11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preserve prime agricultural resources.</w:t>
      </w:r>
    </w:p>
    <w:p w14:paraId="4FB306BC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2. Sustainable Settlement Hierarchy: Ashley is a small, rural parish with very little public</w:t>
      </w:r>
    </w:p>
    <w:p w14:paraId="22163CFB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transport, primary infrastructure, medical facilities, or local employment. Allocating large-scale</w:t>
      </w:r>
    </w:p>
    <w:p w14:paraId="4A2E252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development here violates sustainable development principles, which require growth to be</w:t>
      </w:r>
    </w:p>
    <w:p w14:paraId="6753227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focused on Tier 1 and Tier 2 urban centres.</w:t>
      </w:r>
    </w:p>
    <w:p w14:paraId="7B5D9035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3. Highways &amp; Safety: The surrounding rural road network, constrained by narrow railway</w:t>
      </w:r>
    </w:p>
    <w:p w14:paraId="4F7239D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 xml:space="preserve">bridges and single-lane pinch points, cannot safely accommodate thousands of additional </w:t>
      </w:r>
      <w:proofErr w:type="gramStart"/>
      <w:r>
        <w:rPr>
          <w:rFonts w:ascii="Garamond" w:hAnsi="Garamond" w:cs="Garamond"/>
          <w:color w:val="000000"/>
          <w:lang w:eastAsia="en-GB"/>
        </w:rPr>
        <w:t>vehicle</w:t>
      </w:r>
      <w:proofErr w:type="gramEnd"/>
    </w:p>
    <w:p w14:paraId="6C20C471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movements toward the A538 and M56.</w:t>
      </w:r>
    </w:p>
    <w:p w14:paraId="401D01C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4. Inadequate Rail Connections: Ashley train station lacks the service capacity needed for</w:t>
      </w:r>
    </w:p>
    <w:p w14:paraId="33D96018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lastRenderedPageBreak/>
        <w:t>sustainable transit. It operates on a maximum frequency of just one train per hour in each</w:t>
      </w:r>
    </w:p>
    <w:p w14:paraId="354852C9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direction. Furthermore, with the planned new station at Cheadle progressing (it has planning</w:t>
      </w:r>
    </w:p>
    <w:p w14:paraId="329CA93C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permission and is fully funded), prospective service reallocations would reduce Ashley’s service</w:t>
      </w:r>
    </w:p>
    <w:p w14:paraId="3F152FD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frequency to a single train every two hours, rendering rail commuting unfeasible for new</w:t>
      </w:r>
    </w:p>
    <w:p w14:paraId="2AD88101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residents. In March 2026 Keir Mather MP, parliamentary under-secretary of state in the</w:t>
      </w:r>
    </w:p>
    <w:p w14:paraId="4ED9C48D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Department for Transport, stated, in Parliament, "The Rail North partnership board is the</w:t>
      </w:r>
    </w:p>
    <w:p w14:paraId="1356301D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decision-making board for service considerations for Northern Trains Ltd and TransPennine</w:t>
      </w:r>
    </w:p>
    <w:p w14:paraId="6C8088AC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trains, and is one part of the process that needs to take place to enable the service change. It is</w:t>
      </w:r>
    </w:p>
    <w:p w14:paraId="1A081AE9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now evident that service change, including reducing the frequency of services that stop at Ashley</w:t>
      </w:r>
    </w:p>
    <w:p w14:paraId="43FD09D4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and Plumley, is the only way that an hourly stop at a new station at Cheadle could be</w:t>
      </w:r>
    </w:p>
    <w:p w14:paraId="5D6ED1CC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accommodated.”</w:t>
      </w:r>
    </w:p>
    <w:p w14:paraId="7F735965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5. The land falls directly within flight path operational noise contours and bird-strike hazard</w:t>
      </w:r>
    </w:p>
    <w:p w14:paraId="0739732D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safety zones, making high-density housing unsuitable.</w:t>
      </w:r>
    </w:p>
    <w:p w14:paraId="42044603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6. Drainage &amp; Utilities: The area lacks deep sewer, grid, and surface water drainage capacity,</w:t>
      </w:r>
    </w:p>
    <w:p w14:paraId="38FEB190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presenting high surface-water flood risks to the River Bollin catchment.</w:t>
      </w:r>
    </w:p>
    <w:p w14:paraId="1DEEBE4D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7. Loss of High-Grade Agricultural Land (BMV): Independent soil surveys (including HS2 Phase</w:t>
      </w:r>
    </w:p>
    <w:p w14:paraId="6B075368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2b data) confirm the land contains Grade 2 and Subgrade 3a Best and Most Versatile (BMV)</w:t>
      </w:r>
    </w:p>
    <w:p w14:paraId="1317A8E8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agricultural land, which national policy protects for food security.</w:t>
      </w:r>
    </w:p>
    <w:p w14:paraId="0DB783F5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8. Environmental Heritage Harm: Development would cause irreparable harm to the Bollin</w:t>
      </w:r>
    </w:p>
    <w:p w14:paraId="544DFFE8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 xml:space="preserve">Valley and Parklands LLD, </w:t>
      </w:r>
      <w:proofErr w:type="spellStart"/>
      <w:r>
        <w:rPr>
          <w:rFonts w:ascii="Garamond" w:hAnsi="Garamond" w:cs="Garamond"/>
          <w:color w:val="000000"/>
          <w:lang w:eastAsia="en-GB"/>
        </w:rPr>
        <w:t>Rostherne</w:t>
      </w:r>
      <w:proofErr w:type="spellEnd"/>
      <w:r>
        <w:rPr>
          <w:rFonts w:ascii="Garamond" w:hAnsi="Garamond" w:cs="Garamond"/>
          <w:color w:val="000000"/>
          <w:lang w:eastAsia="en-GB"/>
        </w:rPr>
        <w:t>/Tatton Park LLD, Cotterill Clough Nature Reserve,</w:t>
      </w:r>
    </w:p>
    <w:p w14:paraId="4F5F4012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ancient woodlands, protected species corridors, and the setting of 19 Grade II listed buildings</w:t>
      </w:r>
    </w:p>
    <w:p w14:paraId="1429D5BF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(including Ashley Hall).</w:t>
      </w:r>
    </w:p>
    <w:p w14:paraId="23F9C6BF" w14:textId="77777777" w:rsidR="00C905BE" w:rsidRDefault="00C905BE" w:rsidP="00C905BE">
      <w:pPr>
        <w:autoSpaceDE w:val="0"/>
        <w:autoSpaceDN w:val="0"/>
        <w:adjustRightInd w:val="0"/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I request that Cheshire East Council formally classify this 291.03-hectare area (12 adjoining sites</w:t>
      </w:r>
    </w:p>
    <w:p w14:paraId="404A565E" w14:textId="77777777" w:rsidR="00C905BE" w:rsidRDefault="00C905BE" w:rsidP="00C905BE">
      <w:pPr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totalling 291.03 hectares) as Unsuitable and Undeliverable in the SHELAA assessment.</w:t>
      </w:r>
    </w:p>
    <w:p w14:paraId="7EE02AD6" w14:textId="77777777" w:rsidR="00C905BE" w:rsidRDefault="00C905BE" w:rsidP="00C905BE">
      <w:pPr>
        <w:rPr>
          <w:rFonts w:ascii="Garamond" w:hAnsi="Garamond" w:cs="Garamond"/>
          <w:color w:val="000000"/>
          <w:lang w:eastAsia="en-GB"/>
        </w:rPr>
      </w:pPr>
    </w:p>
    <w:p w14:paraId="78D85A03" w14:textId="77777777" w:rsidR="00C905BE" w:rsidRDefault="00C905BE" w:rsidP="00C905BE">
      <w:pPr>
        <w:rPr>
          <w:rFonts w:ascii="Garamond" w:hAnsi="Garamond" w:cs="Garamond"/>
          <w:color w:val="000000"/>
          <w:lang w:eastAsia="en-GB"/>
        </w:rPr>
      </w:pPr>
      <w:r>
        <w:rPr>
          <w:rFonts w:ascii="Garamond" w:hAnsi="Garamond" w:cs="Garamond"/>
          <w:color w:val="000000"/>
          <w:lang w:eastAsia="en-GB"/>
        </w:rPr>
        <w:t>Yours Sincerely</w:t>
      </w:r>
    </w:p>
    <w:p w14:paraId="549C0573" w14:textId="77777777" w:rsidR="00C905BE" w:rsidRDefault="00C905BE" w:rsidP="00C905BE">
      <w:pPr>
        <w:rPr>
          <w:rFonts w:ascii="Garamond" w:hAnsi="Garamond" w:cs="Garamond"/>
          <w:color w:val="000000"/>
          <w:lang w:eastAsia="en-GB"/>
        </w:rPr>
      </w:pPr>
    </w:p>
    <w:p w14:paraId="0089EA97" w14:textId="77777777" w:rsidR="00C905BE" w:rsidRDefault="00C905BE" w:rsidP="00C905BE">
      <w:pPr>
        <w:rPr>
          <w:rFonts w:ascii="Garamond" w:hAnsi="Garamond" w:cs="Garamond"/>
          <w:color w:val="000000"/>
          <w:lang w:eastAsia="en-GB"/>
        </w:rPr>
      </w:pPr>
    </w:p>
    <w:p w14:paraId="45F96637" w14:textId="77777777" w:rsidR="00C905BE" w:rsidRPr="00C905BE" w:rsidRDefault="00C905BE" w:rsidP="00C905BE"/>
    <w:sectPr w:rsidR="00C905BE" w:rsidRPr="00C905BE">
      <w:footerReference w:type="even" r:id="rId9"/>
      <w:footerReference w:type="defaul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4909" w14:textId="77777777" w:rsidR="007F5CE7" w:rsidRDefault="007F5CE7"/>
  </w:endnote>
  <w:endnote w:type="continuationSeparator" w:id="0">
    <w:p w14:paraId="6C059254" w14:textId="77777777" w:rsidR="007F5CE7" w:rsidRDefault="007F5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Garamond-Italic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C875F" w14:textId="77777777" w:rsidR="00CD5D0B" w:rsidRDefault="00CD5D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D32F" w14:textId="77777777" w:rsidR="00CD5D0B" w:rsidRDefault="00CD5D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A826" w14:textId="77777777" w:rsidR="00CD5D0B" w:rsidRDefault="00CD5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B67B3" w14:textId="77777777" w:rsidR="007F5CE7" w:rsidRDefault="007F5CE7"/>
  </w:footnote>
  <w:footnote w:type="continuationSeparator" w:id="0">
    <w:p w14:paraId="2E17C33A" w14:textId="77777777" w:rsidR="007F5CE7" w:rsidRDefault="007F5C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77B"/>
    <w:multiLevelType w:val="hybridMultilevel"/>
    <w:tmpl w:val="DE4A50E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E3A1A"/>
    <w:multiLevelType w:val="hybridMultilevel"/>
    <w:tmpl w:val="F5763F7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4155A"/>
    <w:multiLevelType w:val="hybridMultilevel"/>
    <w:tmpl w:val="E38ABC50"/>
    <w:lvl w:ilvl="0" w:tplc="A528661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1910593">
    <w:abstractNumId w:val="0"/>
  </w:num>
  <w:num w:numId="2" w16cid:durableId="246229062">
    <w:abstractNumId w:val="1"/>
  </w:num>
  <w:num w:numId="3" w16cid:durableId="113567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23"/>
    <w:rsid w:val="00015E3F"/>
    <w:rsid w:val="0004348A"/>
    <w:rsid w:val="00046C33"/>
    <w:rsid w:val="000A36FB"/>
    <w:rsid w:val="000C3D3D"/>
    <w:rsid w:val="000E040A"/>
    <w:rsid w:val="000E2F96"/>
    <w:rsid w:val="001024B3"/>
    <w:rsid w:val="00124D94"/>
    <w:rsid w:val="00130E49"/>
    <w:rsid w:val="001430EE"/>
    <w:rsid w:val="00155D97"/>
    <w:rsid w:val="001B57A2"/>
    <w:rsid w:val="001C1EE8"/>
    <w:rsid w:val="001E6BE9"/>
    <w:rsid w:val="00217204"/>
    <w:rsid w:val="002521A1"/>
    <w:rsid w:val="00285574"/>
    <w:rsid w:val="002A7351"/>
    <w:rsid w:val="002B0F96"/>
    <w:rsid w:val="002C3A30"/>
    <w:rsid w:val="002C6C39"/>
    <w:rsid w:val="002F5F13"/>
    <w:rsid w:val="00307765"/>
    <w:rsid w:val="003313C3"/>
    <w:rsid w:val="00364FD9"/>
    <w:rsid w:val="003702EC"/>
    <w:rsid w:val="00377F12"/>
    <w:rsid w:val="003928AD"/>
    <w:rsid w:val="003A01A8"/>
    <w:rsid w:val="003C49CD"/>
    <w:rsid w:val="003F4223"/>
    <w:rsid w:val="00407EFE"/>
    <w:rsid w:val="00473159"/>
    <w:rsid w:val="00473DC5"/>
    <w:rsid w:val="00475D8F"/>
    <w:rsid w:val="00497397"/>
    <w:rsid w:val="004B2396"/>
    <w:rsid w:val="004E4ACD"/>
    <w:rsid w:val="004F51C1"/>
    <w:rsid w:val="005226E9"/>
    <w:rsid w:val="00581AFA"/>
    <w:rsid w:val="005A0227"/>
    <w:rsid w:val="005C3A07"/>
    <w:rsid w:val="005F3952"/>
    <w:rsid w:val="00602970"/>
    <w:rsid w:val="006276BB"/>
    <w:rsid w:val="00656A62"/>
    <w:rsid w:val="00670855"/>
    <w:rsid w:val="00691495"/>
    <w:rsid w:val="00692D77"/>
    <w:rsid w:val="00694398"/>
    <w:rsid w:val="006B45E7"/>
    <w:rsid w:val="006B4A21"/>
    <w:rsid w:val="006D00A6"/>
    <w:rsid w:val="006E0AD2"/>
    <w:rsid w:val="006F4E77"/>
    <w:rsid w:val="007231DF"/>
    <w:rsid w:val="00751B88"/>
    <w:rsid w:val="00782D79"/>
    <w:rsid w:val="007F5CE7"/>
    <w:rsid w:val="008018AE"/>
    <w:rsid w:val="00804C2E"/>
    <w:rsid w:val="00822B93"/>
    <w:rsid w:val="00831084"/>
    <w:rsid w:val="00850DCD"/>
    <w:rsid w:val="00854135"/>
    <w:rsid w:val="00854381"/>
    <w:rsid w:val="00866A41"/>
    <w:rsid w:val="00867011"/>
    <w:rsid w:val="00870A76"/>
    <w:rsid w:val="008911EF"/>
    <w:rsid w:val="00893984"/>
    <w:rsid w:val="008A7BE8"/>
    <w:rsid w:val="008B0397"/>
    <w:rsid w:val="008B7A6B"/>
    <w:rsid w:val="008D61D3"/>
    <w:rsid w:val="008E69D9"/>
    <w:rsid w:val="00943378"/>
    <w:rsid w:val="00947314"/>
    <w:rsid w:val="00974F59"/>
    <w:rsid w:val="00976540"/>
    <w:rsid w:val="00984DF9"/>
    <w:rsid w:val="009A0411"/>
    <w:rsid w:val="009C027C"/>
    <w:rsid w:val="009C4875"/>
    <w:rsid w:val="009F301C"/>
    <w:rsid w:val="00A24FE5"/>
    <w:rsid w:val="00A538C9"/>
    <w:rsid w:val="00A66B1E"/>
    <w:rsid w:val="00A70CD2"/>
    <w:rsid w:val="00A72F33"/>
    <w:rsid w:val="00A82F78"/>
    <w:rsid w:val="00A96140"/>
    <w:rsid w:val="00AB3B61"/>
    <w:rsid w:val="00B1019E"/>
    <w:rsid w:val="00B70656"/>
    <w:rsid w:val="00B712F7"/>
    <w:rsid w:val="00BB0BEC"/>
    <w:rsid w:val="00BB2456"/>
    <w:rsid w:val="00BE5844"/>
    <w:rsid w:val="00BF18FD"/>
    <w:rsid w:val="00C06D68"/>
    <w:rsid w:val="00C07946"/>
    <w:rsid w:val="00C5218A"/>
    <w:rsid w:val="00C7515A"/>
    <w:rsid w:val="00C77129"/>
    <w:rsid w:val="00C87FB0"/>
    <w:rsid w:val="00C905BE"/>
    <w:rsid w:val="00CC2BD9"/>
    <w:rsid w:val="00CD5D0B"/>
    <w:rsid w:val="00CD6A33"/>
    <w:rsid w:val="00D51DB2"/>
    <w:rsid w:val="00D859FB"/>
    <w:rsid w:val="00D86F7B"/>
    <w:rsid w:val="00DA3D5C"/>
    <w:rsid w:val="00DC5D77"/>
    <w:rsid w:val="00DD7C4D"/>
    <w:rsid w:val="00DF1B49"/>
    <w:rsid w:val="00E03C92"/>
    <w:rsid w:val="00E10B92"/>
    <w:rsid w:val="00E10D26"/>
    <w:rsid w:val="00E11565"/>
    <w:rsid w:val="00E337A9"/>
    <w:rsid w:val="00E37300"/>
    <w:rsid w:val="00E600E1"/>
    <w:rsid w:val="00E60B29"/>
    <w:rsid w:val="00E64A13"/>
    <w:rsid w:val="00E70CDC"/>
    <w:rsid w:val="00E93C59"/>
    <w:rsid w:val="00EA626A"/>
    <w:rsid w:val="00EC3A99"/>
    <w:rsid w:val="00ED1B26"/>
    <w:rsid w:val="00F42228"/>
    <w:rsid w:val="00F45D13"/>
    <w:rsid w:val="00F6773C"/>
    <w:rsid w:val="00F72C6A"/>
    <w:rsid w:val="00F73B02"/>
    <w:rsid w:val="00F87CEA"/>
    <w:rsid w:val="00F9108F"/>
    <w:rsid w:val="00F9712C"/>
    <w:rsid w:val="00FB18FF"/>
    <w:rsid w:val="00FF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E2877"/>
  <w15:chartTrackingRefBased/>
  <w15:docId w15:val="{2919AE6B-FFD6-4E62-B1F7-E1E9D888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qFormat/>
    <w:pPr>
      <w:outlineLvl w:val="2"/>
    </w:pPr>
    <w:rPr>
      <w:rFonts w:ascii="Arial" w:hAnsi="Arial" w:cs="Arial"/>
      <w:b/>
      <w:bCs/>
      <w:color w:val="7F9DB9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C4875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C4875"/>
    <w:rPr>
      <w:rFonts w:ascii="Calibri" w:eastAsia="Calibri" w:hAnsi="Calibri"/>
      <w:sz w:val="22"/>
      <w:szCs w:val="21"/>
      <w:lang w:eastAsia="en-US"/>
    </w:rPr>
  </w:style>
  <w:style w:type="paragraph" w:customStyle="1" w:styleId="body">
    <w:name w:val="body"/>
    <w:basedOn w:val="Normal"/>
    <w:rsid w:val="00C905BE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uiPriority w:val="99"/>
    <w:semiHidden/>
    <w:unhideWhenUsed/>
    <w:rsid w:val="00C905B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CD5D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D5D0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calplan@cheshireeast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8EC5-70F4-4E2D-A495-135D69762F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975da0-2206-4296-8b08-8eab8a965a3b}" enabled="1" method="Privileged" siteId="{cdb92d10-23cb-4ac1-a9b3-34f4faaa285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SHAND HIGSON</Company>
  <LinksUpToDate>false</LinksUpToDate>
  <CharactersWithSpaces>4420</CharactersWithSpaces>
  <SharedDoc>false</SharedDoc>
  <HLinks>
    <vt:vector size="18" baseType="variant">
      <vt:variant>
        <vt:i4>5636205</vt:i4>
      </vt:variant>
      <vt:variant>
        <vt:i4>6</vt:i4>
      </vt:variant>
      <vt:variant>
        <vt:i4>0</vt:i4>
      </vt:variant>
      <vt:variant>
        <vt:i4>5</vt:i4>
      </vt:variant>
      <vt:variant>
        <vt:lpwstr>mailto:judithhardman23@gmail.com</vt:lpwstr>
      </vt:variant>
      <vt:variant>
        <vt:lpwstr/>
      </vt:variant>
      <vt:variant>
        <vt:i4>5374007</vt:i4>
      </vt:variant>
      <vt:variant>
        <vt:i4>3</vt:i4>
      </vt:variant>
      <vt:variant>
        <vt:i4>0</vt:i4>
      </vt:variant>
      <vt:variant>
        <vt:i4>5</vt:i4>
      </vt:variant>
      <vt:variant>
        <vt:lpwstr>mailto:fishersimon150@gmail.com</vt:lpwstr>
      </vt:variant>
      <vt:variant>
        <vt:lpwstr/>
      </vt:variant>
      <vt:variant>
        <vt:i4>852083</vt:i4>
      </vt:variant>
      <vt:variant>
        <vt:i4>0</vt:i4>
      </vt:variant>
      <vt:variant>
        <vt:i4>0</vt:i4>
      </vt:variant>
      <vt:variant>
        <vt:i4>5</vt:i4>
      </vt:variant>
      <vt:variant>
        <vt:lpwstr>mailto:localplan@cheshireeast.gov.uk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sfisher</dc:creator>
  <cp:keywords/>
  <cp:lastModifiedBy>GRASE-JURKENAS, Yelena</cp:lastModifiedBy>
  <cp:revision>3</cp:revision>
  <cp:lastPrinted>2026-08-25T14:20:00Z</cp:lastPrinted>
  <dcterms:created xsi:type="dcterms:W3CDTF">2026-09-25T10:46:00Z</dcterms:created>
  <dcterms:modified xsi:type="dcterms:W3CDTF">2026-09-25T10:46:00Z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975da0-2206-4296-8b08-8eab8a965a3b_Enabled">
    <vt:lpwstr>true</vt:lpwstr>
  </property>
  <property fmtid="{D5CDD505-2E9C-101B-9397-08002B2CF9AE}" pid="3" name="MSIP_Label_ef975da0-2206-4296-8b08-8eab8a965a3b_SetDate">
    <vt:lpwstr>2026-09-25T10:46:08Z</vt:lpwstr>
  </property>
  <property fmtid="{D5CDD505-2E9C-101B-9397-08002B2CF9AE}" pid="4" name="MSIP_Label_ef975da0-2206-4296-8b08-8eab8a965a3b_Method">
    <vt:lpwstr>Standard</vt:lpwstr>
  </property>
  <property fmtid="{D5CDD505-2E9C-101B-9397-08002B2CF9AE}" pid="5" name="MSIP_Label_ef975da0-2206-4296-8b08-8eab8a965a3b_Name">
    <vt:lpwstr>CE-OFFICIAL</vt:lpwstr>
  </property>
  <property fmtid="{D5CDD505-2E9C-101B-9397-08002B2CF9AE}" pid="6" name="MSIP_Label_ef975da0-2206-4296-8b08-8eab8a965a3b_SiteId">
    <vt:lpwstr>cdb92d10-23cb-4ac1-a9b3-34f4faaa2851</vt:lpwstr>
  </property>
  <property fmtid="{D5CDD505-2E9C-101B-9397-08002B2CF9AE}" pid="7" name="MSIP_Label_ef975da0-2206-4296-8b08-8eab8a965a3b_ActionId">
    <vt:lpwstr>df3b029b-23a0-4cc1-ae6d-35bd27952435</vt:lpwstr>
  </property>
  <property fmtid="{D5CDD505-2E9C-101B-9397-08002B2CF9AE}" pid="8" name="MSIP_Label_ef975da0-2206-4296-8b08-8eab8a965a3b_ContentBits">
    <vt:lpwstr>0</vt:lpwstr>
  </property>
</Properties>
</file>