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F981D" w14:textId="77777777" w:rsidR="00D808ED" w:rsidRDefault="00B775E7">
      <w:pPr>
        <w:spacing w:after="160"/>
      </w:pPr>
      <w:r>
        <w:rPr>
          <w:noProof/>
        </w:rPr>
        <w:drawing>
          <wp:inline distT="0" distB="0" distL="0" distR="0" wp14:anchorId="1E518109" wp14:editId="37CFE9BF">
            <wp:extent cx="5972175" cy="179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72175" cy="1790700"/>
                    </a:xfrm>
                    <a:prstGeom prst="rect">
                      <a:avLst/>
                    </a:prstGeom>
                  </pic:spPr>
                </pic:pic>
              </a:graphicData>
            </a:graphic>
          </wp:inline>
        </w:drawing>
      </w:r>
    </w:p>
    <w:p w14:paraId="0EBB8A12" w14:textId="77777777" w:rsidR="00D808ED" w:rsidRDefault="00D808ED">
      <w:pPr>
        <w:pBdr>
          <w:bottom w:val="single" w:sz="12" w:space="4" w:color="404040"/>
        </w:pBdr>
        <w:spacing w:after="40"/>
      </w:pPr>
    </w:p>
    <w:p w14:paraId="4BAC9FD7" w14:textId="77777777" w:rsidR="00D808ED" w:rsidRDefault="00D808ED">
      <w:pPr>
        <w:pBdr>
          <w:bottom w:val="single" w:sz="4" w:space="4" w:color="404040"/>
        </w:pBdr>
        <w:spacing w:after="200"/>
      </w:pPr>
    </w:p>
    <w:p w14:paraId="387CEA00" w14:textId="77777777" w:rsidR="00D808ED" w:rsidRDefault="00B775E7">
      <w:pPr>
        <w:spacing w:after="200" w:line="300" w:lineRule="auto"/>
      </w:pPr>
      <w:r>
        <w:rPr>
          <w:b/>
          <w:bCs/>
          <w:sz w:val="24"/>
          <w:szCs w:val="24"/>
        </w:rPr>
        <w:t>Representation to the Cheshire East New Local Plan — scoping consultation</w:t>
      </w:r>
    </w:p>
    <w:p w14:paraId="2B29D53F" w14:textId="77777777" w:rsidR="00D808ED" w:rsidRDefault="00B775E7">
      <w:pPr>
        <w:spacing w:after="180" w:line="300" w:lineRule="auto"/>
      </w:pPr>
      <w:r>
        <w:rPr>
          <w:sz w:val="20"/>
          <w:szCs w:val="20"/>
        </w:rPr>
        <w:t>Trading address:  Edgeley Lodge Farm, Long Lane, Haughton, Tarporley, Cheshire CW6 9RG</w:t>
      </w:r>
    </w:p>
    <w:p w14:paraId="7EE6A428" w14:textId="77777777" w:rsidR="00D808ED" w:rsidRDefault="00B775E7">
      <w:pPr>
        <w:spacing w:after="180" w:line="300" w:lineRule="auto"/>
      </w:pPr>
      <w:r>
        <w:rPr>
          <w:sz w:val="20"/>
          <w:szCs w:val="20"/>
        </w:rPr>
        <w:t>Submitted to:  Strategic Planning Team, Cheshire East Council — localplan@cheshireeast.gov.uk</w:t>
      </w:r>
    </w:p>
    <w:p w14:paraId="71347D4D" w14:textId="77777777" w:rsidR="00D808ED" w:rsidRDefault="00B775E7">
      <w:pPr>
        <w:spacing w:after="280" w:line="300" w:lineRule="auto"/>
      </w:pPr>
      <w:r>
        <w:rPr>
          <w:sz w:val="20"/>
          <w:szCs w:val="20"/>
        </w:rPr>
        <w:t>Date:  28 August 2026</w:t>
      </w:r>
    </w:p>
    <w:p w14:paraId="05B7ED09" w14:textId="77777777" w:rsidR="00D808ED" w:rsidRDefault="00B775E7">
      <w:pPr>
        <w:spacing w:before="320" w:after="130" w:line="300" w:lineRule="auto"/>
      </w:pPr>
      <w:r>
        <w:rPr>
          <w:b/>
          <w:bCs/>
          <w:color w:val="404040"/>
          <w:sz w:val="24"/>
          <w:szCs w:val="24"/>
        </w:rPr>
        <w:t>1   The business</w:t>
      </w:r>
    </w:p>
    <w:p w14:paraId="7C0D21B2" w14:textId="77777777" w:rsidR="00D808ED" w:rsidRDefault="00B775E7">
      <w:pPr>
        <w:spacing w:after="180" w:line="300" w:lineRule="auto"/>
      </w:pPr>
      <w:r>
        <w:t>Danelander Limited operates from Edgeley Lodge Farm, Long Lane, Haughton, and has traded from these premises continuously. The company’s activity is the supply, assembly, development and export of machinery. Machines arrive crated and require assembly on site; the company also develops and tests machinery for the United Kingdom market, and sells and exports the resulting range. A parts and counter trade is run alongside it, serving customers across the surrounding area.</w:t>
      </w:r>
    </w:p>
    <w:p w14:paraId="1ED2A90B" w14:textId="77777777" w:rsidR="00D808ED" w:rsidRDefault="00B775E7">
      <w:pPr>
        <w:spacing w:after="180" w:line="300" w:lineRule="auto"/>
      </w:pPr>
      <w:r>
        <w:t>The company is a machinery business. Its customers include agricultural, land management and environmental organisations, but the activity carried on at Edgeley Lodge Farm is the assembly, development, sale and export of manufactured goods.</w:t>
      </w:r>
    </w:p>
    <w:p w14:paraId="12ABDCBF" w14:textId="77777777" w:rsidR="00D808ED" w:rsidRDefault="00B775E7">
      <w:pPr>
        <w:spacing w:after="180" w:line="300" w:lineRule="auto"/>
      </w:pPr>
      <w:r>
        <w:t>The company declares that its premises are at Edgeley Lodge Farm and that its directors and shareholders own land in Haughton. It promotes no site through this representation.</w:t>
      </w:r>
    </w:p>
    <w:p w14:paraId="66404561" w14:textId="77777777" w:rsidR="00D808ED" w:rsidRDefault="00B775E7">
      <w:pPr>
        <w:spacing w:before="320" w:after="130" w:line="300" w:lineRule="auto"/>
      </w:pPr>
      <w:r>
        <w:rPr>
          <w:b/>
          <w:bCs/>
          <w:color w:val="404040"/>
          <w:sz w:val="24"/>
          <w:szCs w:val="24"/>
        </w:rPr>
        <w:t>2   Rural businesses need premises, and premises are not interchangeable</w:t>
      </w:r>
    </w:p>
    <w:p w14:paraId="4AB28AB5" w14:textId="77777777" w:rsidR="00D808ED" w:rsidRDefault="00B775E7">
      <w:pPr>
        <w:spacing w:after="180" w:line="300" w:lineRule="auto"/>
      </w:pPr>
      <w:r>
        <w:t>The company asks that the plan recognise a category of business that is neither agricultural nor urban: enterprises whose customers, products and operating requirements are tied to the countryside, and which need floorspace, yard area, hardstanding and vehicular access that a town industrial estate does not readily supply and cannot supply at a workable cost.</w:t>
      </w:r>
    </w:p>
    <w:p w14:paraId="3E800DE2" w14:textId="77777777" w:rsidR="00D808ED" w:rsidRDefault="00B775E7">
      <w:pPr>
        <w:spacing w:after="180" w:line="300" w:lineRule="auto"/>
      </w:pPr>
      <w:r>
        <w:t>Sustainability tests framed around urban accessibility should not be applied mechanically to such businesses. Relocating this kind of operation to a location chosen for its public transport does not reduce its journeys; it lengthens them, because the customers remain where they are.</w:t>
      </w:r>
    </w:p>
    <w:p w14:paraId="51A15F8E" w14:textId="77777777" w:rsidR="00D808ED" w:rsidRDefault="00B775E7">
      <w:pPr>
        <w:spacing w:before="320" w:after="130" w:line="300" w:lineRule="auto"/>
      </w:pPr>
      <w:r>
        <w:rPr>
          <w:b/>
          <w:bCs/>
          <w:color w:val="404040"/>
          <w:sz w:val="24"/>
          <w:szCs w:val="24"/>
        </w:rPr>
        <w:t>3   Reuse should not automatically mean loss of employment</w:t>
      </w:r>
    </w:p>
    <w:p w14:paraId="36DBBD3A" w14:textId="77777777" w:rsidR="00D808ED" w:rsidRDefault="00B775E7">
      <w:pPr>
        <w:spacing w:after="180" w:line="300" w:lineRule="auto"/>
      </w:pPr>
      <w:r>
        <w:lastRenderedPageBreak/>
        <w:t>The company supports the conversion and reuse of existing rural buildings, which is generally a better use of land than expansion onto open fields. It asks, however, that reuse policy be drafted so that it does not assume residential conversion as the only outcome.</w:t>
      </w:r>
    </w:p>
    <w:p w14:paraId="26F73077" w14:textId="77777777" w:rsidR="00D808ED" w:rsidRDefault="00B775E7">
      <w:pPr>
        <w:spacing w:after="180" w:line="300" w:lineRule="auto"/>
      </w:pPr>
      <w:r>
        <w:t>Where an existing building is in employment use, the plan should require the appraisal to identify what employment floorspace would be lost, and whether it can be retained on site or relocated within the locality. Otherwise a policy intended to protect the countryside will steadily remove the premises that rural enterprise depends on.</w:t>
      </w:r>
    </w:p>
    <w:p w14:paraId="740B0943" w14:textId="77777777" w:rsidR="00D808ED" w:rsidRDefault="00B775E7">
      <w:pPr>
        <w:spacing w:after="180" w:line="300" w:lineRule="auto"/>
      </w:pPr>
      <w:r>
        <w:t>One parcel under consideration — Moss Farm — appears to contain an existing group of buildings within its boundary rather than adjoining it. The company asks that it be appraised as an existing built site, including the question of what use is presently carried on there.</w:t>
      </w:r>
    </w:p>
    <w:p w14:paraId="666F4CD8" w14:textId="77777777" w:rsidR="00D808ED" w:rsidRDefault="00B775E7">
      <w:pPr>
        <w:spacing w:before="320" w:after="130" w:line="300" w:lineRule="auto"/>
      </w:pPr>
      <w:r>
        <w:rPr>
          <w:b/>
          <w:bCs/>
          <w:color w:val="404040"/>
          <w:sz w:val="24"/>
          <w:szCs w:val="24"/>
        </w:rPr>
        <w:t>4   Housing and the workforce</w:t>
      </w:r>
    </w:p>
    <w:p w14:paraId="56E3DDE6" w14:textId="77777777" w:rsidR="00D808ED" w:rsidRDefault="00B775E7">
      <w:pPr>
        <w:spacing w:after="180" w:line="300" w:lineRule="auto"/>
      </w:pPr>
      <w:r>
        <w:t>The absence of attainable local housing is an economic constraint on this business. Recruitment reaches progressively further out, journeys lengthen, and the company carries the cost in reliability and mileage.</w:t>
      </w:r>
    </w:p>
    <w:p w14:paraId="7EC49BD0" w14:textId="77777777" w:rsidR="00D808ED" w:rsidRDefault="00B775E7">
      <w:pPr>
        <w:spacing w:after="180" w:line="300" w:lineRule="auto"/>
      </w:pPr>
      <w:r>
        <w:t>The company therefore supports smaller housing sites, appropriate infill and the reuse of existing buildings, which can deliver smaller and more attainable units within the existing form of the village. It notes that Haughton has no housing in the lowest council tax bands.</w:t>
      </w:r>
    </w:p>
    <w:p w14:paraId="579A83E8" w14:textId="77777777" w:rsidR="00D808ED" w:rsidRDefault="00B775E7">
      <w:pPr>
        <w:spacing w:after="180" w:line="300" w:lineRule="auto"/>
      </w:pPr>
      <w:r>
        <w:t>The company understands that the larger dwelling figures attached to the Haughton parcels are the product of the Council’s standard capacity assumption applied during scoping, rather than schemes proposed by the landowner’s agent. It asks that this be stated explicitly in the evidence base, so that a modelling convention is not treated as a development proposal.</w:t>
      </w:r>
    </w:p>
    <w:p w14:paraId="5DC3332C" w14:textId="77777777" w:rsidR="00D808ED" w:rsidRDefault="00B775E7">
      <w:pPr>
        <w:spacing w:before="320" w:after="130" w:line="300" w:lineRule="auto"/>
      </w:pPr>
      <w:r>
        <w:rPr>
          <w:b/>
          <w:bCs/>
          <w:color w:val="404040"/>
          <w:sz w:val="24"/>
          <w:szCs w:val="24"/>
        </w:rPr>
        <w:t>5   Existing operations and new housing</w:t>
      </w:r>
    </w:p>
    <w:p w14:paraId="248EFB4C" w14:textId="77777777" w:rsidR="00D808ED" w:rsidRDefault="00B775E7">
      <w:pPr>
        <w:spacing w:after="180" w:line="300" w:lineRule="auto"/>
      </w:pPr>
      <w:r>
        <w:t>Where housing is allocated next to an established operating business, the plan should apply the agent of change principle expressly. The party introducing a new sensitive use should carry responsibility for the mitigation its own proposal requires, and an existing lawful operation should not be constrained retrospectively by development permitted around it. This is a general policy request and the company asks that it be addressed in the plan’s employment and amenity policies.</w:t>
      </w:r>
    </w:p>
    <w:p w14:paraId="1C4B640F" w14:textId="77777777" w:rsidR="00D808ED" w:rsidRDefault="00B775E7">
      <w:pPr>
        <w:spacing w:before="320" w:after="130" w:line="300" w:lineRule="auto"/>
      </w:pPr>
      <w:r>
        <w:rPr>
          <w:b/>
          <w:bCs/>
          <w:color w:val="404040"/>
          <w:sz w:val="24"/>
          <w:szCs w:val="24"/>
        </w:rPr>
        <w:t>6   Long Lane</w:t>
      </w:r>
    </w:p>
    <w:p w14:paraId="134A57F0" w14:textId="77777777" w:rsidR="00D808ED" w:rsidRDefault="00B775E7">
      <w:pPr>
        <w:spacing w:after="180" w:line="300" w:lineRule="auto"/>
      </w:pPr>
      <w:r>
        <w:t>Long Lane carries this company’s vehicle movements alongside agricultural traffic, pedestrians and school transport, on a road with restricted visibility at several bends and no continuous footway. The company asks that a cumulative highways and drainage assessment be published before site selection, covering all parcels together, all existing and proposed accesses, and the delivery mechanism and funding for any works identified.</w:t>
      </w:r>
    </w:p>
    <w:p w14:paraId="261C466A" w14:textId="77777777" w:rsidR="00D808ED" w:rsidRDefault="00B775E7">
      <w:pPr>
        <w:spacing w:before="320" w:after="130" w:line="300" w:lineRule="auto"/>
      </w:pPr>
      <w:r>
        <w:rPr>
          <w:b/>
          <w:bCs/>
          <w:color w:val="404040"/>
          <w:sz w:val="24"/>
          <w:szCs w:val="24"/>
        </w:rPr>
        <w:t>7   Outcomes requested</w:t>
      </w:r>
    </w:p>
    <w:p w14:paraId="25C61B23" w14:textId="77777777" w:rsidR="00D808ED" w:rsidRDefault="00B775E7">
      <w:pPr>
        <w:pStyle w:val="ListParagraph"/>
        <w:numPr>
          <w:ilvl w:val="0"/>
          <w:numId w:val="1"/>
        </w:numPr>
        <w:spacing w:after="140" w:line="300" w:lineRule="auto"/>
      </w:pPr>
      <w:r>
        <w:t>Recognise rural enterprise as a distinct category with distinct premises requirements, and do not apply urban accessibility tests mechanically to it.</w:t>
      </w:r>
    </w:p>
    <w:p w14:paraId="3C0BE442" w14:textId="77777777" w:rsidR="00D808ED" w:rsidRDefault="00B775E7">
      <w:pPr>
        <w:pStyle w:val="ListParagraph"/>
        <w:numPr>
          <w:ilvl w:val="0"/>
          <w:numId w:val="1"/>
        </w:numPr>
        <w:spacing w:after="140" w:line="300" w:lineRule="auto"/>
      </w:pPr>
      <w:r>
        <w:lastRenderedPageBreak/>
        <w:t>Require reuse appraisals to identify employment floorspace that would be lost, and whether it can be retained or relocated.</w:t>
      </w:r>
    </w:p>
    <w:p w14:paraId="2F4089F3" w14:textId="77777777" w:rsidR="00D808ED" w:rsidRDefault="00B775E7">
      <w:pPr>
        <w:pStyle w:val="ListParagraph"/>
        <w:numPr>
          <w:ilvl w:val="0"/>
          <w:numId w:val="1"/>
        </w:numPr>
        <w:spacing w:after="140" w:line="300" w:lineRule="auto"/>
      </w:pPr>
      <w:r>
        <w:t>Appraise Moss Farm as an existing built site, including its current use.</w:t>
      </w:r>
    </w:p>
    <w:p w14:paraId="59F8FE2D" w14:textId="77777777" w:rsidR="00D808ED" w:rsidRDefault="00B775E7">
      <w:pPr>
        <w:pStyle w:val="ListParagraph"/>
        <w:numPr>
          <w:ilvl w:val="0"/>
          <w:numId w:val="1"/>
        </w:numPr>
        <w:spacing w:after="140" w:line="300" w:lineRule="auto"/>
      </w:pPr>
      <w:r>
        <w:t>Support smaller and attainable housing through small sites, infill and conversion.</w:t>
      </w:r>
    </w:p>
    <w:p w14:paraId="403BE874" w14:textId="77777777" w:rsidR="00D808ED" w:rsidRDefault="00B775E7">
      <w:pPr>
        <w:pStyle w:val="ListParagraph"/>
        <w:numPr>
          <w:ilvl w:val="0"/>
          <w:numId w:val="1"/>
        </w:numPr>
        <w:spacing w:after="140" w:line="300" w:lineRule="auto"/>
      </w:pPr>
      <w:r>
        <w:t>State explicitly that the Haughton dwelling figures are modelled capacities.</w:t>
      </w:r>
    </w:p>
    <w:p w14:paraId="55517764" w14:textId="77777777" w:rsidR="00D808ED" w:rsidRDefault="00B775E7">
      <w:pPr>
        <w:pStyle w:val="ListParagraph"/>
        <w:numPr>
          <w:ilvl w:val="0"/>
          <w:numId w:val="1"/>
        </w:numPr>
        <w:spacing w:after="140" w:line="300" w:lineRule="auto"/>
      </w:pPr>
      <w:r>
        <w:t>Apply the agent of change principle where housing is proposed adjoining established operations.</w:t>
      </w:r>
    </w:p>
    <w:p w14:paraId="315E1B95" w14:textId="77777777" w:rsidR="00D808ED" w:rsidRDefault="00B775E7">
      <w:pPr>
        <w:pStyle w:val="ListParagraph"/>
        <w:numPr>
          <w:ilvl w:val="0"/>
          <w:numId w:val="1"/>
        </w:numPr>
        <w:spacing w:after="140" w:line="300" w:lineRule="auto"/>
      </w:pPr>
      <w:r>
        <w:t>Publish a cumulative Long Lane highways and drainage assessment before site selection.</w:t>
      </w:r>
    </w:p>
    <w:p w14:paraId="0254FE52" w14:textId="77777777" w:rsidR="00D808ED" w:rsidRDefault="00D808ED">
      <w:pPr>
        <w:spacing w:after="120" w:line="300" w:lineRule="auto"/>
      </w:pPr>
    </w:p>
    <w:p w14:paraId="11AD4571" w14:textId="77777777" w:rsidR="00D808ED" w:rsidRDefault="00B775E7">
      <w:pPr>
        <w:spacing w:after="320" w:line="300" w:lineRule="auto"/>
      </w:pPr>
      <w:r>
        <w:t>The company asks that this document be registered in full as its separate representation, that receipt and the allocated reference be confirmed, and that it be notified of the later statutory stages.</w:t>
      </w:r>
    </w:p>
    <w:p w14:paraId="3F4DB5A1" w14:textId="77777777" w:rsidR="00D808ED" w:rsidRDefault="00B775E7">
      <w:pPr>
        <w:spacing w:after="560" w:line="300" w:lineRule="auto"/>
      </w:pPr>
      <w:r>
        <w:t>Yours faithfully</w:t>
      </w:r>
    </w:p>
    <w:p w14:paraId="233DA719" w14:textId="77777777" w:rsidR="00D808ED" w:rsidRDefault="00B775E7">
      <w:pPr>
        <w:spacing w:after="60" w:line="300" w:lineRule="auto"/>
      </w:pPr>
      <w:r>
        <w:t>……………………………………</w:t>
      </w:r>
    </w:p>
    <w:p w14:paraId="0F403A1C" w14:textId="77777777" w:rsidR="00D808ED" w:rsidRDefault="00B775E7">
      <w:pPr>
        <w:spacing w:after="320" w:line="300" w:lineRule="auto"/>
      </w:pPr>
      <w:r>
        <w:rPr>
          <w:b/>
          <w:bCs/>
        </w:rPr>
        <w:t>Director, for and on behalf of Danelander Limited</w:t>
      </w:r>
    </w:p>
    <w:p w14:paraId="2E01F759" w14:textId="77777777" w:rsidR="00D808ED" w:rsidRDefault="00D808ED">
      <w:pPr>
        <w:pBdr>
          <w:bottom w:val="single" w:sz="4" w:space="4" w:color="BBBBBB"/>
        </w:pBdr>
        <w:spacing w:after="100"/>
      </w:pPr>
    </w:p>
    <w:p w14:paraId="1C7AED7F" w14:textId="77777777" w:rsidR="00D808ED" w:rsidRDefault="00B775E7">
      <w:pPr>
        <w:spacing w:after="30" w:line="300" w:lineRule="auto"/>
      </w:pPr>
      <w:r>
        <w:rPr>
          <w:color w:val="777777"/>
          <w:sz w:val="17"/>
          <w:szCs w:val="17"/>
        </w:rPr>
        <w:t>Danelander Limited  ·  Registered in England and Wales, company number 06950005</w:t>
      </w:r>
    </w:p>
    <w:p w14:paraId="32F5E4A6" w14:textId="77777777" w:rsidR="00D808ED" w:rsidRDefault="00B775E7">
      <w:pPr>
        <w:spacing w:after="180" w:line="300" w:lineRule="auto"/>
      </w:pPr>
      <w:r>
        <w:rPr>
          <w:color w:val="777777"/>
          <w:sz w:val="17"/>
          <w:szCs w:val="17"/>
        </w:rPr>
        <w:t>Trading address: Edgeley Lodge Farm, Long Lane, Haughton, Tarporley, Cheshire CW6 9RG</w:t>
      </w:r>
    </w:p>
    <w:sectPr w:rsidR="00D808ED">
      <w:footerReference w:type="even" r:id="rId8"/>
      <w:footerReference w:type="default" r:id="rId9"/>
      <w:footerReference w:type="first" r:id="rId10"/>
      <w:pgSz w:w="11906" w:h="16838"/>
      <w:pgMar w:top="1134"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03FE" w14:textId="77777777" w:rsidR="00B775E7" w:rsidRDefault="00B775E7" w:rsidP="00FC53CE">
      <w:r>
        <w:separator/>
      </w:r>
    </w:p>
  </w:endnote>
  <w:endnote w:type="continuationSeparator" w:id="0">
    <w:p w14:paraId="159E1213" w14:textId="77777777" w:rsidR="00B775E7" w:rsidRDefault="00B775E7" w:rsidP="00FC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E312" w14:textId="033B850D" w:rsidR="00FC53CE" w:rsidRDefault="00FC53CE">
    <w:pPr>
      <w:pStyle w:val="Footer"/>
    </w:pPr>
    <w:r>
      <w:rPr>
        <w:noProof/>
      </w:rPr>
      <mc:AlternateContent>
        <mc:Choice Requires="wps">
          <w:drawing>
            <wp:anchor distT="0" distB="0" distL="0" distR="0" simplePos="0" relativeHeight="251659264" behindDoc="0" locked="0" layoutInCell="1" allowOverlap="1" wp14:anchorId="1D6BE43E" wp14:editId="1E849502">
              <wp:simplePos x="635" y="635"/>
              <wp:positionH relativeFrom="page">
                <wp:align>center</wp:align>
              </wp:positionH>
              <wp:positionV relativeFrom="page">
                <wp:align>bottom</wp:align>
              </wp:positionV>
              <wp:extent cx="686435" cy="365760"/>
              <wp:effectExtent l="0" t="0" r="18415" b="0"/>
              <wp:wrapNone/>
              <wp:docPr id="110500214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6791C98" w14:textId="0F4AC86A" w:rsidR="00FC53CE" w:rsidRPr="00FC53CE" w:rsidRDefault="00FC53CE" w:rsidP="00FC53CE">
                          <w:pPr>
                            <w:rPr>
                              <w:noProof/>
                              <w:color w:val="003EC8"/>
                              <w:sz w:val="24"/>
                              <w:szCs w:val="24"/>
                            </w:rPr>
                          </w:pPr>
                          <w:r w:rsidRPr="00FC53CE">
                            <w:rPr>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6BE43E"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26791C98" w14:textId="0F4AC86A" w:rsidR="00FC53CE" w:rsidRPr="00FC53CE" w:rsidRDefault="00FC53CE" w:rsidP="00FC53CE">
                    <w:pPr>
                      <w:rPr>
                        <w:noProof/>
                        <w:color w:val="003EC8"/>
                        <w:sz w:val="24"/>
                        <w:szCs w:val="24"/>
                      </w:rPr>
                    </w:pPr>
                    <w:r w:rsidRPr="00FC53CE">
                      <w:rPr>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4753" w14:textId="611E0B98" w:rsidR="00FC53CE" w:rsidRDefault="00FC53CE">
    <w:pPr>
      <w:pStyle w:val="Footer"/>
    </w:pPr>
    <w:r>
      <w:rPr>
        <w:noProof/>
      </w:rPr>
      <mc:AlternateContent>
        <mc:Choice Requires="wps">
          <w:drawing>
            <wp:anchor distT="0" distB="0" distL="0" distR="0" simplePos="0" relativeHeight="251660288" behindDoc="0" locked="0" layoutInCell="1" allowOverlap="1" wp14:anchorId="58AFAEE4" wp14:editId="4D9F481C">
              <wp:simplePos x="793750" y="10083800"/>
              <wp:positionH relativeFrom="page">
                <wp:align>center</wp:align>
              </wp:positionH>
              <wp:positionV relativeFrom="page">
                <wp:align>bottom</wp:align>
              </wp:positionV>
              <wp:extent cx="686435" cy="365760"/>
              <wp:effectExtent l="0" t="0" r="18415" b="0"/>
              <wp:wrapNone/>
              <wp:docPr id="280577288"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40A1C0A" w14:textId="42E29701" w:rsidR="00FC53CE" w:rsidRPr="00FC53CE" w:rsidRDefault="00FC53CE" w:rsidP="00FC53CE">
                          <w:pPr>
                            <w:rPr>
                              <w:noProof/>
                              <w:color w:val="003EC8"/>
                              <w:sz w:val="24"/>
                              <w:szCs w:val="24"/>
                            </w:rPr>
                          </w:pPr>
                          <w:r w:rsidRPr="00FC53CE">
                            <w:rPr>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AFAEE4"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740A1C0A" w14:textId="42E29701" w:rsidR="00FC53CE" w:rsidRPr="00FC53CE" w:rsidRDefault="00FC53CE" w:rsidP="00FC53CE">
                    <w:pPr>
                      <w:rPr>
                        <w:noProof/>
                        <w:color w:val="003EC8"/>
                        <w:sz w:val="24"/>
                        <w:szCs w:val="24"/>
                      </w:rPr>
                    </w:pPr>
                    <w:r w:rsidRPr="00FC53CE">
                      <w:rPr>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5389" w14:textId="45C81CF1" w:rsidR="00FC53CE" w:rsidRDefault="00FC53CE">
    <w:pPr>
      <w:pStyle w:val="Footer"/>
    </w:pPr>
    <w:r>
      <w:rPr>
        <w:noProof/>
      </w:rPr>
      <mc:AlternateContent>
        <mc:Choice Requires="wps">
          <w:drawing>
            <wp:anchor distT="0" distB="0" distL="0" distR="0" simplePos="0" relativeHeight="251658240" behindDoc="0" locked="0" layoutInCell="1" allowOverlap="1" wp14:anchorId="290B1D9F" wp14:editId="74CFB588">
              <wp:simplePos x="635" y="635"/>
              <wp:positionH relativeFrom="page">
                <wp:align>center</wp:align>
              </wp:positionH>
              <wp:positionV relativeFrom="page">
                <wp:align>bottom</wp:align>
              </wp:positionV>
              <wp:extent cx="686435" cy="365760"/>
              <wp:effectExtent l="0" t="0" r="18415" b="0"/>
              <wp:wrapNone/>
              <wp:docPr id="86520370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482ECF1" w14:textId="1DC8A801" w:rsidR="00FC53CE" w:rsidRPr="00FC53CE" w:rsidRDefault="00FC53CE" w:rsidP="00FC53CE">
                          <w:pPr>
                            <w:rPr>
                              <w:noProof/>
                              <w:color w:val="003EC8"/>
                              <w:sz w:val="24"/>
                              <w:szCs w:val="24"/>
                            </w:rPr>
                          </w:pPr>
                          <w:r w:rsidRPr="00FC53CE">
                            <w:rPr>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0B1D9F"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3482ECF1" w14:textId="1DC8A801" w:rsidR="00FC53CE" w:rsidRPr="00FC53CE" w:rsidRDefault="00FC53CE" w:rsidP="00FC53CE">
                    <w:pPr>
                      <w:rPr>
                        <w:noProof/>
                        <w:color w:val="003EC8"/>
                        <w:sz w:val="24"/>
                        <w:szCs w:val="24"/>
                      </w:rPr>
                    </w:pPr>
                    <w:r w:rsidRPr="00FC53CE">
                      <w:rPr>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895E0" w14:textId="77777777" w:rsidR="00B775E7" w:rsidRDefault="00B775E7" w:rsidP="00FC53CE">
      <w:r>
        <w:separator/>
      </w:r>
    </w:p>
  </w:footnote>
  <w:footnote w:type="continuationSeparator" w:id="0">
    <w:p w14:paraId="66ED30F8" w14:textId="77777777" w:rsidR="00B775E7" w:rsidRDefault="00B775E7" w:rsidP="00FC5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0638"/>
    <w:multiLevelType w:val="hybridMultilevel"/>
    <w:tmpl w:val="EF7C0160"/>
    <w:lvl w:ilvl="0" w:tplc="046E3338">
      <w:start w:val="1"/>
      <w:numFmt w:val="bullet"/>
      <w:lvlText w:val="●"/>
      <w:lvlJc w:val="left"/>
      <w:pPr>
        <w:ind w:left="720" w:hanging="360"/>
      </w:pPr>
    </w:lvl>
    <w:lvl w:ilvl="1" w:tplc="45ECFBFC">
      <w:start w:val="1"/>
      <w:numFmt w:val="bullet"/>
      <w:lvlText w:val="○"/>
      <w:lvlJc w:val="left"/>
      <w:pPr>
        <w:ind w:left="1440" w:hanging="360"/>
      </w:pPr>
    </w:lvl>
    <w:lvl w:ilvl="2" w:tplc="84ECDDE4">
      <w:start w:val="1"/>
      <w:numFmt w:val="bullet"/>
      <w:lvlText w:val="■"/>
      <w:lvlJc w:val="left"/>
      <w:pPr>
        <w:ind w:left="2160" w:hanging="360"/>
      </w:pPr>
    </w:lvl>
    <w:lvl w:ilvl="3" w:tplc="141A69FC">
      <w:start w:val="1"/>
      <w:numFmt w:val="bullet"/>
      <w:lvlText w:val="●"/>
      <w:lvlJc w:val="left"/>
      <w:pPr>
        <w:ind w:left="2880" w:hanging="360"/>
      </w:pPr>
    </w:lvl>
    <w:lvl w:ilvl="4" w:tplc="43380D18">
      <w:start w:val="1"/>
      <w:numFmt w:val="bullet"/>
      <w:lvlText w:val="○"/>
      <w:lvlJc w:val="left"/>
      <w:pPr>
        <w:ind w:left="3600" w:hanging="360"/>
      </w:pPr>
    </w:lvl>
    <w:lvl w:ilvl="5" w:tplc="BFF48DAC">
      <w:start w:val="1"/>
      <w:numFmt w:val="bullet"/>
      <w:lvlText w:val="■"/>
      <w:lvlJc w:val="left"/>
      <w:pPr>
        <w:ind w:left="4320" w:hanging="360"/>
      </w:pPr>
    </w:lvl>
    <w:lvl w:ilvl="6" w:tplc="7F80C0AC">
      <w:start w:val="1"/>
      <w:numFmt w:val="bullet"/>
      <w:lvlText w:val="●"/>
      <w:lvlJc w:val="left"/>
      <w:pPr>
        <w:ind w:left="5040" w:hanging="360"/>
      </w:pPr>
    </w:lvl>
    <w:lvl w:ilvl="7" w:tplc="21424CF6">
      <w:start w:val="1"/>
      <w:numFmt w:val="bullet"/>
      <w:lvlText w:val="●"/>
      <w:lvlJc w:val="left"/>
      <w:pPr>
        <w:ind w:left="5760" w:hanging="360"/>
      </w:pPr>
    </w:lvl>
    <w:lvl w:ilvl="8" w:tplc="DD80F1B0">
      <w:start w:val="1"/>
      <w:numFmt w:val="bullet"/>
      <w:lvlText w:val="●"/>
      <w:lvlJc w:val="left"/>
      <w:pPr>
        <w:ind w:left="6480" w:hanging="360"/>
      </w:pPr>
    </w:lvl>
  </w:abstractNum>
  <w:num w:numId="1" w16cid:durableId="14533997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8ED"/>
    <w:rsid w:val="001E5559"/>
    <w:rsid w:val="00B775E7"/>
    <w:rsid w:val="00D808ED"/>
    <w:rsid w:val="00FC5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EBC5"/>
  <w15:docId w15:val="{624D9BA4-B620-4415-8ACB-255E157D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FC53CE"/>
    <w:pPr>
      <w:tabs>
        <w:tab w:val="center" w:pos="4513"/>
        <w:tab w:val="right" w:pos="9026"/>
      </w:tabs>
    </w:pPr>
  </w:style>
  <w:style w:type="character" w:customStyle="1" w:styleId="FooterChar">
    <w:name w:val="Footer Char"/>
    <w:basedOn w:val="DefaultParagraphFont"/>
    <w:link w:val="Footer"/>
    <w:uiPriority w:val="99"/>
    <w:rsid w:val="00FC5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874</Words>
  <Characters>4982</Characters>
  <Application>Microsoft Office Word</Application>
  <DocSecurity>4</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GRASE-JURKENAS, Yelena</cp:lastModifiedBy>
  <cp:revision>2</cp:revision>
  <dcterms:created xsi:type="dcterms:W3CDTF">2026-09-24T13:06:00Z</dcterms:created>
  <dcterms:modified xsi:type="dcterms:W3CDTF">2026-09-24T13:06:00Z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3391f5f7,41dcfea1,10b94508</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